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E" w:rsidRPr="00E24D61" w:rsidRDefault="0020239E" w:rsidP="0020239E">
      <w:pPr>
        <w:autoSpaceDE w:val="0"/>
        <w:autoSpaceDN w:val="0"/>
        <w:adjustRightInd w:val="0"/>
        <w:ind w:right="112"/>
        <w:jc w:val="center"/>
      </w:pPr>
      <w:r w:rsidRPr="00E24D61">
        <w:t>ORGANISATION FOR ECONOMIC COOPERATION AND DEVELOPMENT</w:t>
      </w:r>
    </w:p>
    <w:p w:rsidR="0020239E" w:rsidRPr="00E24D61" w:rsidRDefault="0020239E" w:rsidP="0020239E">
      <w:pPr>
        <w:autoSpaceDE w:val="0"/>
        <w:autoSpaceDN w:val="0"/>
        <w:adjustRightInd w:val="0"/>
        <w:ind w:right="112"/>
        <w:jc w:val="center"/>
      </w:pPr>
      <w:r w:rsidRPr="00E24D61">
        <w:t>Nuclear Energy Agency</w:t>
      </w:r>
    </w:p>
    <w:p w:rsidR="0020239E" w:rsidRPr="00E24D61" w:rsidRDefault="0020239E" w:rsidP="0020239E">
      <w:pPr>
        <w:autoSpaceDE w:val="0"/>
        <w:autoSpaceDN w:val="0"/>
        <w:adjustRightInd w:val="0"/>
        <w:ind w:right="112"/>
        <w:jc w:val="center"/>
      </w:pPr>
      <w:r w:rsidRPr="00E24D61">
        <w:t>Nuclear Science Committee</w:t>
      </w:r>
    </w:p>
    <w:p w:rsidR="0020239E" w:rsidRPr="00E24D61" w:rsidRDefault="0020239E" w:rsidP="0020239E">
      <w:pPr>
        <w:autoSpaceDE w:val="0"/>
        <w:autoSpaceDN w:val="0"/>
        <w:adjustRightInd w:val="0"/>
        <w:ind w:right="112"/>
        <w:jc w:val="center"/>
      </w:pPr>
    </w:p>
    <w:p w:rsidR="0020239E" w:rsidRPr="00E24D61" w:rsidRDefault="0020239E" w:rsidP="0020239E">
      <w:pPr>
        <w:autoSpaceDE w:val="0"/>
        <w:autoSpaceDN w:val="0"/>
        <w:adjustRightInd w:val="0"/>
        <w:ind w:right="112"/>
        <w:jc w:val="center"/>
        <w:rPr>
          <w:b/>
        </w:rPr>
      </w:pPr>
      <w:r w:rsidRPr="00E24D61">
        <w:rPr>
          <w:b/>
        </w:rPr>
        <w:t>Working Party on Nuclear Criticality Safety</w:t>
      </w:r>
    </w:p>
    <w:p w:rsidR="0020239E" w:rsidRPr="00E24D61" w:rsidRDefault="0020239E" w:rsidP="0020239E">
      <w:pPr>
        <w:autoSpaceDE w:val="0"/>
        <w:autoSpaceDN w:val="0"/>
        <w:adjustRightInd w:val="0"/>
        <w:ind w:right="112"/>
        <w:jc w:val="center"/>
        <w:rPr>
          <w:b/>
        </w:rPr>
      </w:pPr>
    </w:p>
    <w:p w:rsidR="0020239E" w:rsidRPr="00E24D61" w:rsidRDefault="0020239E" w:rsidP="00CA125A">
      <w:pPr>
        <w:autoSpaceDE w:val="0"/>
        <w:autoSpaceDN w:val="0"/>
        <w:adjustRightInd w:val="0"/>
        <w:ind w:right="112"/>
        <w:jc w:val="center"/>
        <w:rPr>
          <w:b/>
        </w:rPr>
      </w:pPr>
      <w:r w:rsidRPr="00E24D61">
        <w:rPr>
          <w:b/>
        </w:rPr>
        <w:t xml:space="preserve">THE </w:t>
      </w:r>
      <w:r w:rsidR="00F777C1">
        <w:rPr>
          <w:b/>
        </w:rPr>
        <w:t xml:space="preserve">THIRD </w:t>
      </w:r>
      <w:r w:rsidRPr="00E24D61">
        <w:rPr>
          <w:b/>
        </w:rPr>
        <w:t>MEETING OF THE EXPERT GROUP ON</w:t>
      </w:r>
    </w:p>
    <w:p w:rsidR="0020239E" w:rsidRPr="00E24D61" w:rsidRDefault="00F777C1" w:rsidP="00CA125A">
      <w:pPr>
        <w:autoSpaceDE w:val="0"/>
        <w:autoSpaceDN w:val="0"/>
        <w:adjustRightInd w:val="0"/>
        <w:ind w:right="112"/>
        <w:jc w:val="center"/>
        <w:rPr>
          <w:b/>
        </w:rPr>
      </w:pPr>
      <w:r>
        <w:rPr>
          <w:b/>
        </w:rPr>
        <w:t>ADVANCED MONTE CARLO TECHNIQUES (EGAMCT</w:t>
      </w:r>
      <w:r w:rsidR="0020239E" w:rsidRPr="00E24D61">
        <w:rPr>
          <w:b/>
        </w:rPr>
        <w:t>)</w:t>
      </w:r>
    </w:p>
    <w:p w:rsidR="00CA125A" w:rsidRDefault="00CA125A" w:rsidP="00CA125A">
      <w:pPr>
        <w:jc w:val="center"/>
      </w:pPr>
    </w:p>
    <w:p w:rsidR="00895269" w:rsidRDefault="00F777C1" w:rsidP="0089526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color w:val="000000"/>
          <w:szCs w:val="24"/>
          <w:lang w:eastAsia="fr-FR"/>
        </w:rPr>
      </w:pPr>
      <w:r>
        <w:rPr>
          <w:rFonts w:eastAsia="PMingLiU"/>
          <w:color w:val="000000"/>
          <w:szCs w:val="24"/>
          <w:lang w:eastAsia="fr-FR"/>
        </w:rPr>
        <w:t>Friday October 25</w:t>
      </w:r>
      <w:r w:rsidR="00A67AEC">
        <w:rPr>
          <w:rFonts w:eastAsia="PMingLiU"/>
          <w:color w:val="000000"/>
          <w:szCs w:val="24"/>
          <w:lang w:eastAsia="fr-FR"/>
        </w:rPr>
        <w:t>,</w:t>
      </w:r>
      <w:r w:rsidR="00895269">
        <w:rPr>
          <w:rFonts w:eastAsia="PMingLiU"/>
          <w:color w:val="000000"/>
          <w:szCs w:val="24"/>
          <w:lang w:eastAsia="fr-FR"/>
        </w:rPr>
        <w:t xml:space="preserve"> 2013</w:t>
      </w:r>
    </w:p>
    <w:p w:rsidR="00895269" w:rsidRDefault="00895269" w:rsidP="0089526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color w:val="000000"/>
          <w:szCs w:val="24"/>
          <w:lang w:eastAsia="fr-FR"/>
        </w:rPr>
      </w:pPr>
      <w:proofErr w:type="spellStart"/>
      <w:r>
        <w:rPr>
          <w:rFonts w:eastAsia="PMingLiU"/>
          <w:color w:val="000000"/>
          <w:szCs w:val="24"/>
          <w:lang w:eastAsia="fr-FR"/>
        </w:rPr>
        <w:t>Kurchatov</w:t>
      </w:r>
      <w:proofErr w:type="spellEnd"/>
      <w:r>
        <w:rPr>
          <w:rFonts w:eastAsia="PMingLiU"/>
          <w:color w:val="000000"/>
          <w:szCs w:val="24"/>
          <w:lang w:eastAsia="fr-FR"/>
        </w:rPr>
        <w:t xml:space="preserve"> Institute, Moscow</w:t>
      </w:r>
    </w:p>
    <w:p w:rsidR="00895269" w:rsidRDefault="00895269" w:rsidP="0089526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color w:val="000000"/>
          <w:szCs w:val="24"/>
          <w:lang w:eastAsia="fr-FR"/>
        </w:rPr>
      </w:pPr>
      <w:r>
        <w:rPr>
          <w:rFonts w:eastAsia="PMingLiU"/>
          <w:color w:val="000000"/>
          <w:szCs w:val="24"/>
          <w:lang w:eastAsia="fr-FR"/>
        </w:rPr>
        <w:t>Russian Federation</w:t>
      </w:r>
    </w:p>
    <w:p w:rsidR="00CA125A" w:rsidRDefault="00CA125A" w:rsidP="00CA125A">
      <w:pPr>
        <w:jc w:val="center"/>
      </w:pPr>
    </w:p>
    <w:p w:rsidR="00CA125A" w:rsidRPr="00CA125A" w:rsidRDefault="00CA125A" w:rsidP="00CA125A">
      <w:pPr>
        <w:jc w:val="center"/>
        <w:rPr>
          <w:b/>
        </w:rPr>
      </w:pPr>
      <w:r w:rsidRPr="00CA125A">
        <w:rPr>
          <w:b/>
        </w:rPr>
        <w:t>SUMMARY RECORD</w:t>
      </w:r>
    </w:p>
    <w:p w:rsidR="00CA125A" w:rsidRDefault="00CA125A" w:rsidP="00A609F0"/>
    <w:p w:rsidR="00175CBD" w:rsidRPr="00875DE6" w:rsidRDefault="00A609F0" w:rsidP="00875DE6">
      <w:pPr>
        <w:tabs>
          <w:tab w:val="clear" w:pos="850"/>
          <w:tab w:val="clear" w:pos="1191"/>
          <w:tab w:val="clear" w:pos="1531"/>
        </w:tabs>
        <w:spacing w:before="100" w:beforeAutospacing="1" w:after="100" w:afterAutospacing="1"/>
        <w:rPr>
          <w:lang w:eastAsia="fr-FR"/>
        </w:rPr>
      </w:pPr>
      <w:r w:rsidRPr="00875DE6">
        <w:t>Under the auspices of the Working Party on Nucl</w:t>
      </w:r>
      <w:r w:rsidR="00F777C1" w:rsidRPr="00875DE6">
        <w:t xml:space="preserve">ear Criticality Safety (WPNCS), </w:t>
      </w:r>
      <w:r w:rsidR="00F777C1" w:rsidRPr="00F777C1">
        <w:rPr>
          <w:lang w:eastAsia="fr-FR"/>
        </w:rPr>
        <w:t>the Expert Group on Advanced Monte Carlo Techniques for criticality safety assessment was formed in 2010</w:t>
      </w:r>
      <w:r w:rsidR="00F777C1" w:rsidRPr="00875DE6">
        <w:rPr>
          <w:lang w:eastAsia="fr-FR"/>
        </w:rPr>
        <w:t xml:space="preserve"> </w:t>
      </w:r>
      <w:r w:rsidR="00F777C1" w:rsidRPr="00875DE6">
        <w:t>(</w:t>
      </w:r>
      <w:hyperlink r:id="rId6" w:history="1">
        <w:r w:rsidR="00F777C1" w:rsidRPr="00875DE6">
          <w:rPr>
            <w:rStyle w:val="Hyperlink"/>
          </w:rPr>
          <w:t>www.oecd-nea.org/science/wpncs/amct</w:t>
        </w:r>
      </w:hyperlink>
      <w:r w:rsidR="00F777C1" w:rsidRPr="00875DE6">
        <w:t>)</w:t>
      </w:r>
      <w:r w:rsidR="00F777C1" w:rsidRPr="00875DE6">
        <w:t xml:space="preserve">. </w:t>
      </w:r>
      <w:r w:rsidR="00F777C1" w:rsidRPr="00F777C1">
        <w:rPr>
          <w:lang w:eastAsia="fr-FR"/>
        </w:rPr>
        <w:t>The goal of the Expert Group is to transfer new Monte Carlo technology to criticality safety practitioners</w:t>
      </w:r>
      <w:r w:rsidR="00175CBD" w:rsidRPr="00875DE6">
        <w:rPr>
          <w:lang w:eastAsia="fr-FR"/>
        </w:rPr>
        <w:t xml:space="preserve"> by establishing benchmark exercises to</w:t>
      </w:r>
      <w:r w:rsidR="00044043" w:rsidRPr="00875DE6">
        <w:rPr>
          <w:lang w:eastAsia="fr-FR"/>
        </w:rPr>
        <w:t xml:space="preserve"> compare the </w:t>
      </w:r>
      <w:r w:rsidR="00175CBD" w:rsidRPr="00875DE6">
        <w:rPr>
          <w:lang w:eastAsia="fr-FR"/>
        </w:rPr>
        <w:t>different Monte Carlo codes</w:t>
      </w:r>
      <w:r w:rsidR="00044043" w:rsidRPr="00875DE6">
        <w:rPr>
          <w:lang w:eastAsia="fr-FR"/>
        </w:rPr>
        <w:t xml:space="preserve"> and methods used by EG members</w:t>
      </w:r>
      <w:r w:rsidR="00175CBD" w:rsidRPr="00875DE6">
        <w:rPr>
          <w:lang w:eastAsia="fr-FR"/>
        </w:rPr>
        <w:t xml:space="preserve">, and suggest guidelines for applying </w:t>
      </w:r>
      <w:r w:rsidR="00875DE6" w:rsidRPr="00875DE6">
        <w:rPr>
          <w:lang w:eastAsia="fr-FR"/>
        </w:rPr>
        <w:t xml:space="preserve">Monte Carlo </w:t>
      </w:r>
      <w:r w:rsidR="00175CBD" w:rsidRPr="00875DE6">
        <w:rPr>
          <w:lang w:eastAsia="fr-FR"/>
        </w:rPr>
        <w:t xml:space="preserve">techniques to problems of importance to practitioners. </w:t>
      </w:r>
    </w:p>
    <w:p w:rsidR="00A609F0" w:rsidRPr="00875DE6" w:rsidRDefault="00A609F0" w:rsidP="00875DE6">
      <w:r w:rsidRPr="00875DE6">
        <w:t>The Expert Group meets once a year, usually in the autumn, at NEA Headq</w:t>
      </w:r>
      <w:r w:rsidR="00F777C1" w:rsidRPr="00875DE6">
        <w:t>uarters in Paris. In 2013, the 3</w:t>
      </w:r>
      <w:r w:rsidR="00F777C1" w:rsidRPr="00875DE6">
        <w:rPr>
          <w:vertAlign w:val="superscript"/>
        </w:rPr>
        <w:t>rd</w:t>
      </w:r>
      <w:r w:rsidR="00F777C1" w:rsidRPr="00875DE6">
        <w:t xml:space="preserve"> Meeting of the EGAMCT </w:t>
      </w:r>
      <w:r w:rsidRPr="00875DE6">
        <w:t xml:space="preserve">was exceptionally held in Russia, hosted by the </w:t>
      </w:r>
      <w:proofErr w:type="spellStart"/>
      <w:r w:rsidRPr="00875DE6">
        <w:t>Kurchatov</w:t>
      </w:r>
      <w:proofErr w:type="spellEnd"/>
      <w:r w:rsidRPr="00875DE6">
        <w:t xml:space="preserve"> Institute, on October</w:t>
      </w:r>
      <w:r w:rsidR="00F777C1" w:rsidRPr="00875DE6">
        <w:t xml:space="preserve"> 25</w:t>
      </w:r>
      <w:r w:rsidR="00C35CA2" w:rsidRPr="00875DE6">
        <w:t>,</w:t>
      </w:r>
      <w:r w:rsidRPr="00875DE6">
        <w:t xml:space="preserve"> 2013. </w:t>
      </w:r>
    </w:p>
    <w:p w:rsidR="00A609F0" w:rsidRDefault="00A609F0" w:rsidP="00A609F0"/>
    <w:p w:rsidR="00322D85" w:rsidRPr="00322D85" w:rsidRDefault="00322D85" w:rsidP="00A609F0">
      <w:pPr>
        <w:rPr>
          <w:b/>
        </w:rPr>
      </w:pPr>
      <w:r w:rsidRPr="00322D85">
        <w:rPr>
          <w:b/>
        </w:rPr>
        <w:t>Introduction and Welcome</w:t>
      </w:r>
    </w:p>
    <w:p w:rsidR="00322D85" w:rsidRDefault="00322D85" w:rsidP="00A609F0"/>
    <w:p w:rsidR="00322D85" w:rsidRDefault="00322D85" w:rsidP="00A609F0">
      <w:r w:rsidRPr="00076923">
        <w:t>The Chair of the Expert Group</w:t>
      </w:r>
      <w:r>
        <w:t xml:space="preserve">, </w:t>
      </w:r>
      <w:r w:rsidRPr="00076923">
        <w:t>M</w:t>
      </w:r>
      <w:r w:rsidR="00044043">
        <w:t xml:space="preserve">r. Joachim Miss </w:t>
      </w:r>
      <w:r w:rsidRPr="00076923">
        <w:t>of IRSN</w:t>
      </w:r>
      <w:r>
        <w:t>, France opened the meeting and welcome</w:t>
      </w:r>
      <w:r w:rsidR="00044043">
        <w:t>d</w:t>
      </w:r>
      <w:r>
        <w:t xml:space="preserve"> the participants. M</w:t>
      </w:r>
      <w:r w:rsidR="00044043">
        <w:t xml:space="preserve">r. Miss </w:t>
      </w:r>
      <w:r>
        <w:t xml:space="preserve">and Mr. </w:t>
      </w:r>
      <w:proofErr w:type="spellStart"/>
      <w:r>
        <w:t>Michel-Sendis</w:t>
      </w:r>
      <w:proofErr w:type="spellEnd"/>
      <w:r>
        <w:t xml:space="preserve">, on behalf of the OECD NEA, extended their thanks to </w:t>
      </w:r>
      <w:proofErr w:type="spellStart"/>
      <w:r>
        <w:t>Kurchatov</w:t>
      </w:r>
      <w:proofErr w:type="spellEnd"/>
      <w:r>
        <w:t xml:space="preserve"> Institute for hosting the meeting and noted this was the first </w:t>
      </w:r>
      <w:r w:rsidR="00044043">
        <w:t xml:space="preserve">time WPNCS meetings were hosted in Russia, after Russia became a full member of the NEA. </w:t>
      </w:r>
      <w:r>
        <w:t xml:space="preserve"> </w:t>
      </w:r>
    </w:p>
    <w:p w:rsidR="00322D85" w:rsidRDefault="00322D85" w:rsidP="00A609F0"/>
    <w:p w:rsidR="00322D85" w:rsidRPr="00322D85" w:rsidRDefault="00322D85" w:rsidP="00875DE6">
      <w:pPr>
        <w:rPr>
          <w:b/>
        </w:rPr>
      </w:pPr>
      <w:r w:rsidRPr="00322D85">
        <w:rPr>
          <w:b/>
        </w:rPr>
        <w:t xml:space="preserve">Approval of the previous Summary Record and Review of Actions </w:t>
      </w:r>
    </w:p>
    <w:p w:rsidR="00322D85" w:rsidRDefault="00322D85" w:rsidP="00875DE6"/>
    <w:p w:rsidR="00322D85" w:rsidRDefault="00322D85" w:rsidP="00875DE6">
      <w:r>
        <w:t>The summary record of the 2012 meeting (</w:t>
      </w:r>
      <w:hyperlink r:id="rId7" w:history="1">
        <w:r w:rsidR="00C127F4">
          <w:rPr>
            <w:rStyle w:val="Hyperlink"/>
            <w:rFonts w:ascii="Verdana" w:hAnsi="Verdana"/>
            <w:color w:val="2A54A9"/>
            <w:sz w:val="20"/>
            <w:szCs w:val="20"/>
            <w:shd w:val="clear" w:color="auto" w:fill="FFFFFF"/>
          </w:rPr>
          <w:t>EGAMCT-2</w:t>
        </w:r>
        <w:r w:rsidR="00C127F4">
          <w:rPr>
            <w:rStyle w:val="Hyperlink"/>
            <w:rFonts w:ascii="Verdana" w:hAnsi="Verdana"/>
            <w:color w:val="2A54A9"/>
            <w:sz w:val="20"/>
            <w:szCs w:val="20"/>
            <w:shd w:val="clear" w:color="auto" w:fill="FFFFFF"/>
          </w:rPr>
          <w:t>0</w:t>
        </w:r>
        <w:r w:rsidR="00C127F4">
          <w:rPr>
            <w:rStyle w:val="Hyperlink"/>
            <w:rFonts w:ascii="Verdana" w:hAnsi="Verdana"/>
            <w:color w:val="2A54A9"/>
            <w:sz w:val="20"/>
            <w:szCs w:val="20"/>
            <w:shd w:val="clear" w:color="auto" w:fill="FFFFFF"/>
          </w:rPr>
          <w:t>12/SR</w:t>
        </w:r>
      </w:hyperlink>
      <w:r>
        <w:t xml:space="preserve">) was approved without modifications. Actions from the previous meeting were reviewed and discussed. Outstanding actions are discussed under </w:t>
      </w:r>
      <w:r w:rsidR="00A67AEC">
        <w:t>the specific agenda item</w:t>
      </w:r>
      <w:r>
        <w:t xml:space="preserve">. </w:t>
      </w:r>
    </w:p>
    <w:p w:rsidR="00322D85" w:rsidRDefault="00322D85" w:rsidP="00875DE6"/>
    <w:p w:rsidR="00322D85" w:rsidRPr="00322D85" w:rsidRDefault="00322D85" w:rsidP="00875DE6">
      <w:pPr>
        <w:rPr>
          <w:b/>
        </w:rPr>
      </w:pPr>
      <w:r w:rsidRPr="00322D85">
        <w:rPr>
          <w:b/>
        </w:rPr>
        <w:t>Approval of the agenda</w:t>
      </w:r>
    </w:p>
    <w:p w:rsidR="00322D85" w:rsidRDefault="00322D85" w:rsidP="00875DE6"/>
    <w:p w:rsidR="00322D85" w:rsidRPr="006965BF" w:rsidRDefault="006965BF" w:rsidP="00875DE6">
      <w:r w:rsidRPr="006965BF">
        <w:rPr>
          <w:rFonts w:eastAsia="PMingLiU"/>
          <w:lang w:eastAsia="zh-TW"/>
        </w:rPr>
        <w:t xml:space="preserve">The presentation by G. </w:t>
      </w:r>
      <w:proofErr w:type="spellStart"/>
      <w:r w:rsidRPr="006965BF">
        <w:rPr>
          <w:rFonts w:eastAsia="PMingLiU"/>
          <w:lang w:eastAsia="zh-TW"/>
        </w:rPr>
        <w:t>Hordosy</w:t>
      </w:r>
      <w:proofErr w:type="spellEnd"/>
      <w:r w:rsidRPr="006965BF">
        <w:rPr>
          <w:rFonts w:eastAsia="PMingLiU"/>
          <w:lang w:eastAsia="zh-TW"/>
        </w:rPr>
        <w:t xml:space="preserve"> on </w:t>
      </w:r>
      <w:proofErr w:type="spellStart"/>
      <w:r w:rsidRPr="006965BF">
        <w:rPr>
          <w:rFonts w:eastAsia="PMingLiU"/>
          <w:i/>
          <w:lang w:eastAsia="zh-TW"/>
        </w:rPr>
        <w:t>Subcriticality</w:t>
      </w:r>
      <w:proofErr w:type="spellEnd"/>
      <w:r w:rsidRPr="006965BF">
        <w:rPr>
          <w:rFonts w:eastAsia="PMingLiU"/>
          <w:i/>
          <w:lang w:eastAsia="zh-TW"/>
        </w:rPr>
        <w:t xml:space="preserve"> analysis for a spent fuel pool with heterogeneous fuel loading</w:t>
      </w:r>
      <w:r w:rsidRPr="006965BF">
        <w:rPr>
          <w:rFonts w:eastAsia="PMingLiU"/>
          <w:lang w:eastAsia="zh-TW"/>
        </w:rPr>
        <w:t xml:space="preserve"> </w:t>
      </w:r>
      <w:r w:rsidRPr="006965BF">
        <w:rPr>
          <w:rFonts w:eastAsia="PMingLiU"/>
          <w:lang w:eastAsia="zh-TW"/>
        </w:rPr>
        <w:t xml:space="preserve">was cancelled. </w:t>
      </w:r>
      <w:r w:rsidR="00044043" w:rsidRPr="006965BF">
        <w:t xml:space="preserve">The agenda (appendix A) </w:t>
      </w:r>
      <w:r w:rsidRPr="006965BF">
        <w:t>was approved with these changes</w:t>
      </w:r>
      <w:r w:rsidR="006F2691" w:rsidRPr="006965BF">
        <w:t xml:space="preserve">. </w:t>
      </w:r>
    </w:p>
    <w:p w:rsidR="00322D85" w:rsidRDefault="00322D85" w:rsidP="00875DE6"/>
    <w:p w:rsidR="00DA780F" w:rsidRPr="00C35CA2" w:rsidRDefault="00DA780F" w:rsidP="00875DE6">
      <w:pPr>
        <w:rPr>
          <w:b/>
          <w:u w:val="single"/>
        </w:rPr>
      </w:pPr>
      <w:r w:rsidRPr="00C35CA2">
        <w:rPr>
          <w:b/>
          <w:u w:val="single"/>
        </w:rPr>
        <w:t xml:space="preserve">Progress of mandated deliverables </w:t>
      </w:r>
    </w:p>
    <w:p w:rsidR="00DA780F" w:rsidRPr="000D4757" w:rsidRDefault="00DA780F" w:rsidP="00875DE6"/>
    <w:p w:rsidR="00875DE6" w:rsidRPr="00875DE6" w:rsidRDefault="00875DE6" w:rsidP="00935F1D">
      <w:r>
        <w:rPr>
          <w:color w:val="000000"/>
        </w:rPr>
        <w:t>The Chair, J</w:t>
      </w:r>
      <w:r w:rsidR="000D4757">
        <w:rPr>
          <w:color w:val="000000"/>
        </w:rPr>
        <w:t>.</w:t>
      </w:r>
      <w:r>
        <w:rPr>
          <w:color w:val="000000"/>
        </w:rPr>
        <w:t xml:space="preserve"> Miss </w:t>
      </w:r>
      <w:r w:rsidR="000D4757">
        <w:rPr>
          <w:color w:val="000000"/>
        </w:rPr>
        <w:t xml:space="preserve">gave an overview of </w:t>
      </w:r>
      <w:r>
        <w:rPr>
          <w:color w:val="000000"/>
        </w:rPr>
        <w:t>the activities of the Expert Group</w:t>
      </w:r>
      <w:r w:rsidR="00664A4A">
        <w:rPr>
          <w:color w:val="000000"/>
        </w:rPr>
        <w:t xml:space="preserve"> </w:t>
      </w:r>
      <w:r w:rsidR="00664A4A">
        <w:t>(</w:t>
      </w:r>
      <w:hyperlink r:id="rId8" w:history="1">
        <w:r w:rsidR="00664A4A" w:rsidRPr="00C127F4">
          <w:rPr>
            <w:rStyle w:val="Hyperlink"/>
          </w:rPr>
          <w:t>EGAMCT-2013/01</w:t>
        </w:r>
      </w:hyperlink>
      <w:r w:rsidR="00664A4A">
        <w:t>)</w:t>
      </w:r>
      <w:r w:rsidR="00664A4A">
        <w:rPr>
          <w:color w:val="000000"/>
        </w:rPr>
        <w:t xml:space="preserve">, </w:t>
      </w:r>
      <w:r w:rsidR="006D3037">
        <w:rPr>
          <w:color w:val="000000"/>
        </w:rPr>
        <w:t xml:space="preserve">which is </w:t>
      </w:r>
      <w:r w:rsidR="00664A4A">
        <w:rPr>
          <w:color w:val="000000"/>
        </w:rPr>
        <w:t xml:space="preserve">currently working </w:t>
      </w:r>
      <w:r w:rsidR="000D4757" w:rsidRPr="000D4757">
        <w:t xml:space="preserve">on </w:t>
      </w:r>
      <w:r>
        <w:t xml:space="preserve">Benchmark </w:t>
      </w:r>
      <w:r w:rsidR="00664A4A">
        <w:t xml:space="preserve">(Phase I) </w:t>
      </w:r>
      <w:r w:rsidR="006D3037">
        <w:t xml:space="preserve">some aspects of </w:t>
      </w:r>
      <w:r>
        <w:t xml:space="preserve">which </w:t>
      </w:r>
      <w:r w:rsidR="006D3037">
        <w:t>are still being defined.</w:t>
      </w:r>
      <w:r w:rsidR="00664A4A">
        <w:t xml:space="preserve"> It is foreseen that the EG will </w:t>
      </w:r>
      <w:r>
        <w:t xml:space="preserve">issue a guidance report following the lessons from this benchmark. </w:t>
      </w:r>
    </w:p>
    <w:p w:rsidR="000D4757" w:rsidRPr="000D4757" w:rsidRDefault="000D4757" w:rsidP="00875DE6"/>
    <w:p w:rsidR="000D4757" w:rsidRDefault="000D4757" w:rsidP="000D4757">
      <w:pPr>
        <w:jc w:val="left"/>
      </w:pPr>
    </w:p>
    <w:p w:rsidR="00CA6E67" w:rsidRDefault="00CA6E67" w:rsidP="000D4757">
      <w:pPr>
        <w:jc w:val="left"/>
      </w:pPr>
    </w:p>
    <w:p w:rsidR="00875DE6" w:rsidRDefault="00875DE6" w:rsidP="000D4757">
      <w:pPr>
        <w:jc w:val="left"/>
      </w:pPr>
    </w:p>
    <w:p w:rsidR="00C35CA2" w:rsidRDefault="00875DE6" w:rsidP="00935F1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eastAsiaTheme="minorHAnsi"/>
          <w:bCs/>
          <w:i/>
          <w:lang w:eastAsia="en-US"/>
        </w:rPr>
      </w:pPr>
      <w:r w:rsidRPr="00935F1D">
        <w:rPr>
          <w:b/>
        </w:rPr>
        <w:lastRenderedPageBreak/>
        <w:t xml:space="preserve">Phase I </w:t>
      </w:r>
      <w:proofErr w:type="gramStart"/>
      <w:r w:rsidRPr="00935F1D">
        <w:rPr>
          <w:b/>
        </w:rPr>
        <w:t>Benchmark</w:t>
      </w:r>
      <w:r w:rsidR="006C22D5" w:rsidRPr="00935F1D">
        <w:rPr>
          <w:b/>
        </w:rPr>
        <w:t xml:space="preserve">  </w:t>
      </w:r>
      <w:r w:rsidR="00935F1D" w:rsidRPr="00935F1D">
        <w:rPr>
          <w:rFonts w:eastAsiaTheme="minorHAnsi"/>
          <w:bCs/>
          <w:i/>
          <w:lang w:eastAsia="en-US"/>
        </w:rPr>
        <w:t>On</w:t>
      </w:r>
      <w:proofErr w:type="gramEnd"/>
      <w:r w:rsidR="00935F1D" w:rsidRPr="00935F1D">
        <w:rPr>
          <w:rFonts w:eastAsiaTheme="minorHAnsi"/>
          <w:bCs/>
          <w:i/>
          <w:lang w:eastAsia="en-US"/>
        </w:rPr>
        <w:t xml:space="preserve"> q</w:t>
      </w:r>
      <w:r w:rsidR="00935F1D" w:rsidRPr="00935F1D">
        <w:rPr>
          <w:rFonts w:eastAsiaTheme="minorHAnsi"/>
          <w:bCs/>
          <w:i/>
          <w:lang w:eastAsia="en-US"/>
        </w:rPr>
        <w:t xml:space="preserve">uantifying the Effect of </w:t>
      </w:r>
      <w:proofErr w:type="spellStart"/>
      <w:r w:rsidR="00935F1D" w:rsidRPr="00935F1D">
        <w:rPr>
          <w:rFonts w:eastAsiaTheme="minorHAnsi"/>
          <w:bCs/>
          <w:i/>
          <w:lang w:eastAsia="en-US"/>
        </w:rPr>
        <w:t>Undersampling</w:t>
      </w:r>
      <w:proofErr w:type="spellEnd"/>
      <w:r w:rsidR="00935F1D" w:rsidRPr="00935F1D">
        <w:rPr>
          <w:rFonts w:eastAsiaTheme="minorHAnsi"/>
          <w:bCs/>
          <w:i/>
          <w:lang w:eastAsia="en-US"/>
        </w:rPr>
        <w:t xml:space="preserve"> Biases</w:t>
      </w:r>
      <w:r w:rsidR="00935F1D" w:rsidRPr="00935F1D">
        <w:rPr>
          <w:rFonts w:eastAsiaTheme="minorHAnsi"/>
          <w:bCs/>
          <w:i/>
          <w:lang w:eastAsia="en-US"/>
        </w:rPr>
        <w:t xml:space="preserve"> </w:t>
      </w:r>
      <w:r w:rsidR="00935F1D" w:rsidRPr="00935F1D">
        <w:rPr>
          <w:rFonts w:eastAsiaTheme="minorHAnsi"/>
          <w:bCs/>
          <w:i/>
          <w:lang w:eastAsia="en-US"/>
        </w:rPr>
        <w:t>in Monte Carlo Reaction Rate Tallies</w:t>
      </w:r>
    </w:p>
    <w:p w:rsidR="00935F1D" w:rsidRPr="00935F1D" w:rsidRDefault="00935F1D" w:rsidP="00935F1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eastAsiaTheme="minorHAnsi"/>
          <w:bCs/>
          <w:i/>
          <w:lang w:eastAsia="en-US"/>
        </w:rPr>
      </w:pPr>
    </w:p>
    <w:p w:rsidR="006D3037" w:rsidRDefault="00935F1D" w:rsidP="00935F1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Of interest in the EGAMCT is </w:t>
      </w:r>
      <w:r w:rsidRPr="00935F1D">
        <w:rPr>
          <w:rFonts w:ascii="TimesNewRomanPSMT" w:eastAsiaTheme="minorHAnsi" w:hAnsi="TimesNewRomanPSMT" w:cs="TimesNewRomanPSMT"/>
          <w:lang w:eastAsia="en-US"/>
        </w:rPr>
        <w:t>the effective use of Monte Carlo depletion, especially as related to burn</w:t>
      </w:r>
      <w:r w:rsidR="006D3037">
        <w:rPr>
          <w:rFonts w:ascii="TimesNewRomanPSMT" w:eastAsiaTheme="minorHAnsi" w:hAnsi="TimesNewRomanPSMT" w:cs="TimesNewRomanPSMT"/>
          <w:lang w:eastAsia="en-US"/>
        </w:rPr>
        <w:t>-</w:t>
      </w:r>
      <w:r w:rsidRPr="00935F1D">
        <w:rPr>
          <w:rFonts w:ascii="TimesNewRomanPSMT" w:eastAsiaTheme="minorHAnsi" w:hAnsi="TimesNewRomanPSMT" w:cs="TimesNewRomanPSMT"/>
          <w:lang w:eastAsia="en-US"/>
        </w:rPr>
        <w:t>up credit</w:t>
      </w:r>
      <w:r>
        <w:rPr>
          <w:rFonts w:ascii="TimesNewRomanPSMT" w:eastAsiaTheme="minorHAnsi" w:hAnsi="TimesNewRomanPSMT" w:cs="TimesNewRomanPSMT"/>
          <w:lang w:eastAsia="en-US"/>
        </w:rPr>
        <w:t>, for instance</w:t>
      </w:r>
      <w:r w:rsidRPr="00935F1D">
        <w:rPr>
          <w:rFonts w:ascii="TimesNewRomanPSMT" w:eastAsiaTheme="minorHAnsi" w:hAnsi="TimesNewRomanPSMT" w:cs="TimesNewRomanPSMT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lang w:eastAsia="en-US"/>
        </w:rPr>
        <w:t>Phase I benchmark is designed to investigate</w:t>
      </w:r>
      <w:r w:rsidRPr="00935F1D">
        <w:rPr>
          <w:rFonts w:ascii="TimesNewRomanPSMT" w:eastAsiaTheme="minorHAnsi" w:hAnsi="TimesNewRomanPSMT" w:cs="TimesNewRomanPSMT"/>
          <w:lang w:eastAsia="en-US"/>
        </w:rPr>
        <w:t xml:space="preserve"> issues that affect the accuracy of Monte Carlo-calculated reaction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35F1D">
        <w:rPr>
          <w:rFonts w:ascii="TimesNewRomanPSMT" w:eastAsiaTheme="minorHAnsi" w:hAnsi="TimesNewRomanPSMT" w:cs="TimesNewRomanPSMT"/>
          <w:lang w:eastAsia="en-US"/>
        </w:rPr>
        <w:t>rate tallies</w:t>
      </w:r>
      <w:r>
        <w:rPr>
          <w:rFonts w:ascii="TimesNewRomanPSMT" w:eastAsiaTheme="minorHAnsi" w:hAnsi="TimesNewRomanPSMT" w:cs="TimesNewRomanPSMT"/>
          <w:lang w:eastAsia="en-US"/>
        </w:rPr>
        <w:t xml:space="preserve">. </w:t>
      </w:r>
      <w:proofErr w:type="spellStart"/>
      <w:r w:rsidR="006D3037">
        <w:rPr>
          <w:rFonts w:ascii="TimesNewRomanPSMT" w:eastAsiaTheme="minorHAnsi" w:hAnsi="TimesNewRomanPSMT" w:cs="TimesNewRomanPSMT"/>
          <w:lang w:eastAsia="en-US"/>
        </w:rPr>
        <w:t>Undersampling</w:t>
      </w:r>
      <w:proofErr w:type="spellEnd"/>
      <w:r w:rsidRPr="00935F1D">
        <w:rPr>
          <w:rFonts w:ascii="TimesNewRomanPSMT" w:eastAsiaTheme="minorHAnsi" w:hAnsi="TimesNewRomanPSMT" w:cs="TimesNewRomanPSMT"/>
          <w:lang w:eastAsia="en-US"/>
        </w:rPr>
        <w:t xml:space="preserve"> occurs when the neutrons in one generation do not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35F1D">
        <w:rPr>
          <w:rFonts w:ascii="TimesNewRomanPSMT" w:eastAsiaTheme="minorHAnsi" w:hAnsi="TimesNewRomanPSMT" w:cs="TimesNewRomanPSMT"/>
          <w:lang w:eastAsia="en-US"/>
        </w:rPr>
        <w:t>interact with all regions in a problem</w:t>
      </w:r>
      <w:r w:rsidR="006D3037">
        <w:rPr>
          <w:rFonts w:ascii="TimesNewRomanPSMT" w:eastAsiaTheme="minorHAnsi" w:hAnsi="TimesNewRomanPSMT" w:cs="TimesNewRomanPSMT"/>
          <w:lang w:eastAsia="en-US"/>
        </w:rPr>
        <w:t xml:space="preserve"> and </w:t>
      </w:r>
      <w:r w:rsidRPr="00935F1D">
        <w:rPr>
          <w:rFonts w:ascii="TimesNewRomanPSMT" w:eastAsiaTheme="minorHAnsi" w:hAnsi="TimesNewRomanPSMT" w:cs="TimesNewRomanPSMT"/>
          <w:lang w:eastAsia="en-US"/>
        </w:rPr>
        <w:t>results in generational eigenvalue estimates that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35F1D">
        <w:rPr>
          <w:rFonts w:ascii="TimesNewRomanPSMT" w:eastAsiaTheme="minorHAnsi" w:hAnsi="TimesNewRomanPSMT" w:cs="TimesNewRomanPSMT"/>
          <w:lang w:eastAsia="en-US"/>
        </w:rPr>
        <w:t>have not incorporated information from all regions in the system, reaction rate tallies are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35F1D">
        <w:rPr>
          <w:rFonts w:ascii="TimesNewRomanPSMT" w:eastAsiaTheme="minorHAnsi" w:hAnsi="TimesNewRomanPSMT" w:cs="TimesNewRomanPSMT"/>
          <w:lang w:eastAsia="en-US"/>
        </w:rPr>
        <w:t xml:space="preserve">“skipped” and not scored for an entire generation; because of these reasons, </w:t>
      </w:r>
      <w:proofErr w:type="spellStart"/>
      <w:r w:rsidRPr="00935F1D">
        <w:rPr>
          <w:rFonts w:ascii="TimesNewRomanPSMT" w:eastAsiaTheme="minorHAnsi" w:hAnsi="TimesNewRomanPSMT" w:cs="TimesNewRomanPSMT"/>
          <w:lang w:eastAsia="en-US"/>
        </w:rPr>
        <w:t>undersampling</w:t>
      </w:r>
      <w:proofErr w:type="spellEnd"/>
      <w:r w:rsidRPr="00935F1D">
        <w:rPr>
          <w:rFonts w:ascii="TimesNewRomanPSMT" w:eastAsiaTheme="minorHAnsi" w:hAnsi="TimesNewRomanPSMT" w:cs="TimesNewRomanPSMT"/>
          <w:lang w:eastAsia="en-US"/>
        </w:rPr>
        <w:t xml:space="preserve"> can lead to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35F1D">
        <w:rPr>
          <w:rFonts w:ascii="TimesNewRomanPSMT" w:eastAsiaTheme="minorHAnsi" w:hAnsi="TimesNewRomanPSMT" w:cs="TimesNewRomanPSMT"/>
          <w:lang w:eastAsia="en-US"/>
        </w:rPr>
        <w:t>inaccurate eigenvalue and reaction rate tally and tally variance estimates.</w:t>
      </w:r>
      <w:r w:rsidR="00664A4A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6D3037" w:rsidRDefault="006D3037" w:rsidP="00935F1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875DE6" w:rsidRDefault="00664A4A" w:rsidP="00935F1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The following </w:t>
      </w:r>
      <w:r w:rsidR="006D3037">
        <w:rPr>
          <w:rFonts w:ascii="TimesNewRomanPSMT" w:eastAsiaTheme="minorHAnsi" w:hAnsi="TimesNewRomanPSMT" w:cs="TimesNewRomanPSMT"/>
          <w:lang w:eastAsia="en-US"/>
        </w:rPr>
        <w:t xml:space="preserve">on Phase I benchmark </w:t>
      </w:r>
      <w:r>
        <w:rPr>
          <w:rFonts w:ascii="TimesNewRomanPSMT" w:eastAsiaTheme="minorHAnsi" w:hAnsi="TimesNewRomanPSMT" w:cs="TimesNewRomanPSMT"/>
          <w:lang w:eastAsia="en-US"/>
        </w:rPr>
        <w:t xml:space="preserve">presentations took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place :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935F1D" w:rsidRDefault="00935F1D" w:rsidP="00935F1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</w:pPr>
    </w:p>
    <w:p w:rsidR="00875DE6" w:rsidRPr="00875DE6" w:rsidRDefault="00875DE6" w:rsidP="00664A4A">
      <w:pPr>
        <w:pStyle w:val="ListParagraph"/>
        <w:numPr>
          <w:ilvl w:val="0"/>
          <w:numId w:val="18"/>
        </w:numPr>
        <w:jc w:val="left"/>
      </w:pPr>
      <w:hyperlink r:id="rId9" w:history="1">
        <w:r w:rsidRPr="00875DE6">
          <w:rPr>
            <w:rStyle w:val="Hyperlink"/>
          </w:rPr>
          <w:t>EGAMCT-201</w:t>
        </w:r>
        <w:r w:rsidRPr="00875DE6">
          <w:rPr>
            <w:rStyle w:val="Hyperlink"/>
          </w:rPr>
          <w:t>3</w:t>
        </w:r>
        <w:r w:rsidRPr="00875DE6">
          <w:rPr>
            <w:rStyle w:val="Hyperlink"/>
          </w:rPr>
          <w:t xml:space="preserve">/02 </w:t>
        </w:r>
      </w:hyperlink>
      <w:r w:rsidRPr="00875DE6">
        <w:t>, Benchmark Phase I specifications, J. Miss</w:t>
      </w:r>
    </w:p>
    <w:p w:rsidR="00875DE6" w:rsidRPr="00875DE6" w:rsidRDefault="00875DE6" w:rsidP="00664A4A">
      <w:pPr>
        <w:pStyle w:val="ListParagraph"/>
        <w:numPr>
          <w:ilvl w:val="0"/>
          <w:numId w:val="18"/>
        </w:numPr>
        <w:jc w:val="left"/>
      </w:pPr>
      <w:hyperlink r:id="rId10" w:history="1">
        <w:r w:rsidRPr="00875DE6">
          <w:rPr>
            <w:rStyle w:val="Hyperlink"/>
          </w:rPr>
          <w:t>EGAMCT</w:t>
        </w:r>
        <w:r w:rsidRPr="00875DE6">
          <w:rPr>
            <w:rStyle w:val="Hyperlink"/>
          </w:rPr>
          <w:t>-</w:t>
        </w:r>
        <w:r w:rsidRPr="00875DE6">
          <w:rPr>
            <w:rStyle w:val="Hyperlink"/>
          </w:rPr>
          <w:t xml:space="preserve">2013/03 </w:t>
        </w:r>
      </w:hyperlink>
      <w:r w:rsidRPr="00875DE6">
        <w:t>, Benchmark Phase 1 : IRSN Preliminary results on case R1, J. Miss</w:t>
      </w:r>
    </w:p>
    <w:p w:rsidR="00875DE6" w:rsidRPr="00875DE6" w:rsidRDefault="00875DE6" w:rsidP="00664A4A">
      <w:pPr>
        <w:pStyle w:val="ListParagraph"/>
        <w:numPr>
          <w:ilvl w:val="0"/>
          <w:numId w:val="18"/>
        </w:numPr>
        <w:jc w:val="left"/>
      </w:pPr>
      <w:hyperlink r:id="rId11" w:history="1">
        <w:r w:rsidRPr="00875DE6">
          <w:rPr>
            <w:rStyle w:val="Hyperlink"/>
          </w:rPr>
          <w:t xml:space="preserve">EGAMCT-2013/05 </w:t>
        </w:r>
      </w:hyperlink>
      <w:r w:rsidRPr="00875DE6">
        <w:t xml:space="preserve">, Benchmark Phase 1 : ORNL Preliminary results, C. </w:t>
      </w:r>
      <w:proofErr w:type="spellStart"/>
      <w:r w:rsidRPr="00875DE6">
        <w:t>Perfetti</w:t>
      </w:r>
      <w:proofErr w:type="spellEnd"/>
    </w:p>
    <w:p w:rsidR="00875DE6" w:rsidRPr="00875DE6" w:rsidRDefault="00875DE6" w:rsidP="00664A4A">
      <w:pPr>
        <w:pStyle w:val="ListParagraph"/>
        <w:numPr>
          <w:ilvl w:val="0"/>
          <w:numId w:val="18"/>
        </w:numPr>
        <w:jc w:val="left"/>
      </w:pPr>
      <w:hyperlink r:id="rId12" w:history="1">
        <w:r w:rsidRPr="00875DE6">
          <w:rPr>
            <w:rStyle w:val="Hyperlink"/>
          </w:rPr>
          <w:t xml:space="preserve">EGAMCT-2013/04 </w:t>
        </w:r>
      </w:hyperlink>
      <w:r w:rsidRPr="00875DE6">
        <w:t xml:space="preserve">, Benchmark Phase 1 : GRS Preliminary results on cases S1 to S3, M. </w:t>
      </w:r>
      <w:proofErr w:type="spellStart"/>
      <w:r w:rsidRPr="00875DE6">
        <w:t>Stuke</w:t>
      </w:r>
      <w:proofErr w:type="spellEnd"/>
    </w:p>
    <w:p w:rsidR="00875DE6" w:rsidRPr="00875DE6" w:rsidRDefault="00C127F4" w:rsidP="00664A4A">
      <w:pPr>
        <w:pStyle w:val="ListParagraph"/>
        <w:numPr>
          <w:ilvl w:val="0"/>
          <w:numId w:val="18"/>
        </w:numPr>
        <w:jc w:val="left"/>
      </w:pPr>
      <w:hyperlink r:id="rId13" w:history="1">
        <w:r w:rsidR="00875DE6" w:rsidRPr="00C127F4">
          <w:rPr>
            <w:rStyle w:val="Hyperlink"/>
          </w:rPr>
          <w:t>EGAMCT-2013/06</w:t>
        </w:r>
      </w:hyperlink>
      <w:r w:rsidR="00875DE6" w:rsidRPr="00875DE6">
        <w:t xml:space="preserve"> , Benchmark Phase 1 : ENEA Preliminary results on Case R3, K. Burn</w:t>
      </w:r>
    </w:p>
    <w:p w:rsidR="00A67AEC" w:rsidRDefault="00A67AEC" w:rsidP="00DA780F"/>
    <w:p w:rsidR="006F2691" w:rsidRDefault="006F2691" w:rsidP="00DA780F">
      <w:r>
        <w:t xml:space="preserve">A discussion was held where participants pointed out some exercises within the benchmark were </w:t>
      </w:r>
    </w:p>
    <w:p w:rsidR="003C2D08" w:rsidRDefault="003C2D08" w:rsidP="00DA780F">
      <w:proofErr w:type="gramStart"/>
      <w:r>
        <w:t>in</w:t>
      </w:r>
      <w:proofErr w:type="gramEnd"/>
      <w:r>
        <w:t xml:space="preserve"> need of simplification. </w:t>
      </w:r>
      <w:r w:rsidR="006F2691">
        <w:t>It was agreed a revision of the benchmark would take place. Such revision would be l</w:t>
      </w:r>
      <w:r w:rsidR="00A67AEC">
        <w:t xml:space="preserve">ed by </w:t>
      </w:r>
      <w:r>
        <w:t xml:space="preserve">B. </w:t>
      </w:r>
      <w:proofErr w:type="spellStart"/>
      <w:r>
        <w:t>Rearden</w:t>
      </w:r>
      <w:proofErr w:type="spellEnd"/>
      <w:r>
        <w:t xml:space="preserve"> and </w:t>
      </w:r>
      <w:r w:rsidR="00A67AEC">
        <w:t>C</w:t>
      </w:r>
      <w:r>
        <w:t xml:space="preserve">. </w:t>
      </w:r>
      <w:proofErr w:type="spellStart"/>
      <w:r w:rsidR="00A67AEC">
        <w:t>Perfetti</w:t>
      </w:r>
      <w:proofErr w:type="spellEnd"/>
      <w:r w:rsidR="006F2691">
        <w:t xml:space="preserve"> (ORNL)</w:t>
      </w:r>
      <w:r>
        <w:t xml:space="preserve">. </w:t>
      </w:r>
    </w:p>
    <w:p w:rsidR="000A5933" w:rsidRDefault="003C2D08" w:rsidP="00DA780F">
      <w:r>
        <w:t xml:space="preserve"> </w:t>
      </w:r>
      <w:r w:rsidR="006F2691">
        <w:t xml:space="preserve">  </w:t>
      </w:r>
      <w:r w:rsidR="00A67AEC">
        <w:t xml:space="preserve"> </w:t>
      </w:r>
    </w:p>
    <w:p w:rsidR="007C4D23" w:rsidRDefault="00875DE6" w:rsidP="00DA780F">
      <w:r>
        <w:t>R</w:t>
      </w:r>
      <w:r w:rsidR="007C4D23">
        <w:t xml:space="preserve">eview of the latest </w:t>
      </w:r>
      <w:r w:rsidR="00B37822">
        <w:t xml:space="preserve">technical </w:t>
      </w:r>
      <w:r w:rsidR="007C4D23">
        <w:t xml:space="preserve">developments in different codes </w:t>
      </w:r>
      <w:r w:rsidR="00B37822">
        <w:t xml:space="preserve">and </w:t>
      </w:r>
      <w:r w:rsidR="007C4D23">
        <w:t xml:space="preserve">methodologies was </w:t>
      </w:r>
      <w:r w:rsidR="00B37822">
        <w:t xml:space="preserve">also </w:t>
      </w:r>
      <w:r w:rsidR="007C4D23">
        <w:t xml:space="preserve">held. </w:t>
      </w:r>
      <w:r w:rsidR="003C2D08">
        <w:t xml:space="preserve"> </w:t>
      </w:r>
    </w:p>
    <w:p w:rsidR="00875DE6" w:rsidRPr="000D4757" w:rsidRDefault="00875DE6" w:rsidP="00DA780F"/>
    <w:p w:rsidR="00875DE6" w:rsidRPr="00875DE6" w:rsidRDefault="00875DE6" w:rsidP="00C127F4">
      <w:pPr>
        <w:pStyle w:val="ListParagraph"/>
        <w:numPr>
          <w:ilvl w:val="0"/>
          <w:numId w:val="20"/>
        </w:numPr>
        <w:jc w:val="left"/>
      </w:pPr>
      <w:hyperlink r:id="rId14" w:history="1">
        <w:r w:rsidRPr="00875DE6">
          <w:rPr>
            <w:rStyle w:val="Hyperlink"/>
          </w:rPr>
          <w:t xml:space="preserve">EGAMCT-2013/08 </w:t>
        </w:r>
      </w:hyperlink>
      <w:r w:rsidRPr="00875DE6">
        <w:t>, L</w:t>
      </w:r>
      <w:r>
        <w:t>atest developments and Over</w:t>
      </w:r>
      <w:r w:rsidRPr="00875DE6">
        <w:t xml:space="preserve">view of Scale 6.2, B. </w:t>
      </w:r>
      <w:proofErr w:type="spellStart"/>
      <w:r w:rsidRPr="00875DE6">
        <w:t>Rearden</w:t>
      </w:r>
      <w:proofErr w:type="spellEnd"/>
    </w:p>
    <w:p w:rsidR="00875DE6" w:rsidRPr="00875DE6" w:rsidRDefault="00875DE6">
      <w:pPr>
        <w:jc w:val="left"/>
      </w:pPr>
    </w:p>
    <w:p w:rsidR="00875DE6" w:rsidRPr="00875DE6" w:rsidRDefault="00875DE6" w:rsidP="00C127F4">
      <w:pPr>
        <w:pStyle w:val="ListParagraph"/>
        <w:numPr>
          <w:ilvl w:val="0"/>
          <w:numId w:val="20"/>
        </w:numPr>
        <w:jc w:val="left"/>
      </w:pPr>
      <w:r w:rsidRPr="00875DE6">
        <w:t>Optimizing Variance Reduction in Monte Carlo Eigenvalue Calculations with the Source Iteration Approach, K. Burn</w:t>
      </w:r>
    </w:p>
    <w:p w:rsidR="00C127F4" w:rsidRDefault="00C127F4" w:rsidP="00875DE6"/>
    <w:p w:rsidR="00875DE6" w:rsidRPr="00C127F4" w:rsidRDefault="00C127F4" w:rsidP="00875DE6">
      <w:pPr>
        <w:rPr>
          <w:sz w:val="24"/>
          <w:szCs w:val="24"/>
        </w:rPr>
      </w:pPr>
      <w:r w:rsidRPr="00C127F4">
        <w:t>Two other a</w:t>
      </w:r>
      <w:r w:rsidR="00875DE6" w:rsidRPr="00C127F4">
        <w:t xml:space="preserve">dditional presentations at the </w:t>
      </w:r>
      <w:proofErr w:type="gramStart"/>
      <w:r w:rsidR="00875DE6" w:rsidRPr="00C127F4">
        <w:t>meeting</w:t>
      </w:r>
      <w:r w:rsidR="00875DE6" w:rsidRPr="00C127F4">
        <w:rPr>
          <w:sz w:val="24"/>
          <w:szCs w:val="24"/>
        </w:rPr>
        <w:t xml:space="preserve">  </w:t>
      </w:r>
      <w:r>
        <w:rPr>
          <w:sz w:val="24"/>
          <w:szCs w:val="24"/>
        </w:rPr>
        <w:t>took</w:t>
      </w:r>
      <w:proofErr w:type="gramEnd"/>
      <w:r>
        <w:rPr>
          <w:sz w:val="24"/>
          <w:szCs w:val="24"/>
        </w:rPr>
        <w:t xml:space="preserve"> place, that illustrate the use of Monte Carlo methods for in other areas of study: </w:t>
      </w:r>
    </w:p>
    <w:p w:rsidR="00875DE6" w:rsidRDefault="00875DE6" w:rsidP="00875DE6">
      <w:pPr>
        <w:rPr>
          <w:sz w:val="24"/>
          <w:szCs w:val="24"/>
        </w:rPr>
      </w:pPr>
    </w:p>
    <w:p w:rsidR="00875DE6" w:rsidRDefault="00875DE6" w:rsidP="00C127F4">
      <w:pPr>
        <w:pStyle w:val="ListParagraph"/>
        <w:numPr>
          <w:ilvl w:val="0"/>
          <w:numId w:val="19"/>
        </w:numPr>
        <w:jc w:val="left"/>
      </w:pPr>
      <w:hyperlink r:id="rId15" w:history="1">
        <w:r w:rsidRPr="00875DE6">
          <w:rPr>
            <w:rStyle w:val="Hyperlink"/>
          </w:rPr>
          <w:t>EGAMCT</w:t>
        </w:r>
        <w:r w:rsidRPr="00875DE6">
          <w:rPr>
            <w:rStyle w:val="Hyperlink"/>
          </w:rPr>
          <w:t>-</w:t>
        </w:r>
        <w:r w:rsidRPr="00875DE6">
          <w:rPr>
            <w:rStyle w:val="Hyperlink"/>
          </w:rPr>
          <w:t xml:space="preserve">2013/07 </w:t>
        </w:r>
      </w:hyperlink>
      <w:r w:rsidRPr="00875DE6">
        <w:t xml:space="preserve">, Statistical algorithm verification for high concentration </w:t>
      </w:r>
      <w:proofErr w:type="spellStart"/>
      <w:r w:rsidRPr="00875DE6">
        <w:t>microfuel</w:t>
      </w:r>
      <w:proofErr w:type="spellEnd"/>
      <w:r w:rsidRPr="00875DE6">
        <w:t xml:space="preserve"> pebbles, M. </w:t>
      </w:r>
      <w:proofErr w:type="spellStart"/>
      <w:r w:rsidRPr="00875DE6">
        <w:t>Gurevich</w:t>
      </w:r>
      <w:proofErr w:type="spellEnd"/>
    </w:p>
    <w:p w:rsidR="0006065A" w:rsidRDefault="0006065A" w:rsidP="00875DE6">
      <w:pPr>
        <w:jc w:val="left"/>
      </w:pPr>
    </w:p>
    <w:p w:rsidR="0006065A" w:rsidRDefault="0006065A" w:rsidP="00C127F4">
      <w:pPr>
        <w:pStyle w:val="ListParagraph"/>
        <w:numPr>
          <w:ilvl w:val="0"/>
          <w:numId w:val="19"/>
        </w:numPr>
        <w:jc w:val="left"/>
      </w:pPr>
      <w:hyperlink r:id="rId16" w:history="1">
        <w:r w:rsidRPr="00875DE6">
          <w:rPr>
            <w:rStyle w:val="Hyperlink"/>
          </w:rPr>
          <w:t>EGAMCT-2</w:t>
        </w:r>
        <w:r w:rsidRPr="00875DE6">
          <w:rPr>
            <w:rStyle w:val="Hyperlink"/>
          </w:rPr>
          <w:t>0</w:t>
        </w:r>
        <w:r w:rsidRPr="00875DE6">
          <w:rPr>
            <w:rStyle w:val="Hyperlink"/>
          </w:rPr>
          <w:t xml:space="preserve">13/10 </w:t>
        </w:r>
      </w:hyperlink>
      <w:r w:rsidRPr="00875DE6">
        <w:t>, Prospective use of Monte Carlo techniques for the evaluation and the optimization of an electric mix in a territory, J. Miss</w:t>
      </w:r>
    </w:p>
    <w:p w:rsidR="00322D85" w:rsidRDefault="00322D85" w:rsidP="00A609F0"/>
    <w:p w:rsidR="00C127F4" w:rsidRDefault="00C127F4" w:rsidP="00A609F0">
      <w:bookmarkStart w:id="0" w:name="_GoBack"/>
      <w:bookmarkEnd w:id="0"/>
    </w:p>
    <w:p w:rsidR="00322D85" w:rsidRDefault="003C2D08" w:rsidP="00A609F0">
      <w:r>
        <w:t xml:space="preserve">With no other business to discuss, the meeting was adjourned. </w:t>
      </w:r>
    </w:p>
    <w:p w:rsidR="003C2D08" w:rsidRDefault="003C2D08" w:rsidP="00A609F0"/>
    <w:p w:rsidR="0006065A" w:rsidRDefault="0006065A" w:rsidP="00A609F0"/>
    <w:p w:rsidR="00895269" w:rsidRPr="00322D85" w:rsidRDefault="00322D85" w:rsidP="00322D85">
      <w:pPr>
        <w:jc w:val="center"/>
        <w:rPr>
          <w:b/>
        </w:rPr>
      </w:pPr>
      <w:r w:rsidRPr="00322D85">
        <w:rPr>
          <w:b/>
        </w:rPr>
        <w:t xml:space="preserve">List of Actions arising from the </w:t>
      </w:r>
      <w:r w:rsidR="00236749">
        <w:rPr>
          <w:b/>
        </w:rPr>
        <w:t>3rd EGAMCT</w:t>
      </w:r>
      <w:r w:rsidRPr="00322D85">
        <w:rPr>
          <w:b/>
        </w:rPr>
        <w:t xml:space="preserve"> meeting</w:t>
      </w:r>
    </w:p>
    <w:p w:rsidR="00895269" w:rsidRDefault="00895269" w:rsidP="00A609F0"/>
    <w:p w:rsidR="000D4757" w:rsidRDefault="000D4757" w:rsidP="00A609F0"/>
    <w:p w:rsidR="00044043" w:rsidRDefault="00044043" w:rsidP="00236749">
      <w:pPr>
        <w:pStyle w:val="ListParagraph"/>
        <w:numPr>
          <w:ilvl w:val="0"/>
          <w:numId w:val="14"/>
        </w:numPr>
      </w:pPr>
      <w:r>
        <w:t xml:space="preserve">C. </w:t>
      </w:r>
      <w:proofErr w:type="spellStart"/>
      <w:r>
        <w:t>Perfetti</w:t>
      </w:r>
      <w:proofErr w:type="spellEnd"/>
      <w:r>
        <w:t xml:space="preserve"> and B. </w:t>
      </w:r>
      <w:proofErr w:type="spellStart"/>
      <w:r>
        <w:t>Rearden</w:t>
      </w:r>
      <w:proofErr w:type="spellEnd"/>
      <w:r w:rsidR="00C127F4">
        <w:t xml:space="preserve"> with J. Miss,  </w:t>
      </w:r>
      <w:r w:rsidR="00C127F4" w:rsidRPr="00C127F4">
        <w:rPr>
          <w:i/>
        </w:rPr>
        <w:t>T</w:t>
      </w:r>
      <w:r w:rsidR="00C127F4">
        <w:rPr>
          <w:i/>
        </w:rPr>
        <w:t xml:space="preserve">o review/narrow down </w:t>
      </w:r>
      <w:r w:rsidRPr="00C127F4">
        <w:rPr>
          <w:i/>
        </w:rPr>
        <w:t>Phase I specifications</w:t>
      </w:r>
    </w:p>
    <w:p w:rsidR="00044043" w:rsidRDefault="00C127F4" w:rsidP="00236749">
      <w:pPr>
        <w:pStyle w:val="ListParagraph"/>
        <w:numPr>
          <w:ilvl w:val="0"/>
          <w:numId w:val="14"/>
        </w:numPr>
      </w:pPr>
      <w:r>
        <w:t xml:space="preserve">NEA </w:t>
      </w:r>
      <w:r w:rsidR="00044043">
        <w:t xml:space="preserve">Secretariat – </w:t>
      </w:r>
      <w:r w:rsidR="00044043" w:rsidRPr="00C127F4">
        <w:rPr>
          <w:i/>
        </w:rPr>
        <w:t>To distribute revised specifications</w:t>
      </w:r>
      <w:r w:rsidR="00044043">
        <w:t xml:space="preserve"> </w:t>
      </w:r>
    </w:p>
    <w:p w:rsidR="00322D85" w:rsidRDefault="007A0AC5" w:rsidP="00A609F0">
      <w:pPr>
        <w:pStyle w:val="ListParagraph"/>
        <w:numPr>
          <w:ilvl w:val="0"/>
          <w:numId w:val="14"/>
        </w:numPr>
      </w:pPr>
      <w:r>
        <w:t>All</w:t>
      </w:r>
      <w:r w:rsidR="003C2D08">
        <w:t>:</w:t>
      </w:r>
      <w:r>
        <w:t xml:space="preserve"> </w:t>
      </w:r>
      <w:r w:rsidR="00C127F4">
        <w:t xml:space="preserve"> </w:t>
      </w:r>
      <w:r w:rsidR="00C127F4" w:rsidRPr="00C127F4">
        <w:rPr>
          <w:i/>
        </w:rPr>
        <w:t>T</w:t>
      </w:r>
      <w:r w:rsidR="00044043" w:rsidRPr="00C127F4">
        <w:rPr>
          <w:i/>
        </w:rPr>
        <w:t>o submit results of Phase I benchmark to</w:t>
      </w:r>
      <w:r w:rsidR="006F2691" w:rsidRPr="00C127F4">
        <w:rPr>
          <w:i/>
        </w:rPr>
        <w:t xml:space="preserve"> NEA</w:t>
      </w:r>
      <w:r w:rsidR="003C2D08" w:rsidRPr="00C127F4">
        <w:rPr>
          <w:i/>
        </w:rPr>
        <w:t>/</w:t>
      </w:r>
      <w:proofErr w:type="spellStart"/>
      <w:r w:rsidR="003C2D08" w:rsidRPr="00C127F4">
        <w:rPr>
          <w:i/>
        </w:rPr>
        <w:t>J.Miss</w:t>
      </w:r>
      <w:proofErr w:type="spellEnd"/>
      <w:r w:rsidR="006F2691">
        <w:t xml:space="preserve"> </w:t>
      </w:r>
    </w:p>
    <w:p w:rsidR="00322D85" w:rsidRDefault="00322D85" w:rsidP="00A609F0"/>
    <w:p w:rsidR="00322D85" w:rsidRDefault="00322D85" w:rsidP="00A609F0"/>
    <w:p w:rsidR="00322D85" w:rsidRDefault="00322D85" w:rsidP="00A609F0"/>
    <w:p w:rsidR="00044043" w:rsidRDefault="00044043" w:rsidP="00A609F0"/>
    <w:p w:rsidR="00322D85" w:rsidRDefault="00322D85" w:rsidP="00A609F0"/>
    <w:p w:rsidR="00895269" w:rsidRPr="00236749" w:rsidRDefault="0065411B" w:rsidP="0065411B">
      <w:pPr>
        <w:jc w:val="center"/>
        <w:rPr>
          <w:b/>
          <w:sz w:val="24"/>
          <w:szCs w:val="24"/>
        </w:rPr>
      </w:pPr>
      <w:r w:rsidRPr="00236749">
        <w:rPr>
          <w:b/>
          <w:sz w:val="24"/>
          <w:szCs w:val="24"/>
        </w:rPr>
        <w:t>APPENDIX A</w:t>
      </w:r>
    </w:p>
    <w:p w:rsidR="00895269" w:rsidRPr="00236749" w:rsidRDefault="00895269" w:rsidP="00A609F0">
      <w:pPr>
        <w:rPr>
          <w:sz w:val="24"/>
          <w:szCs w:val="24"/>
        </w:rPr>
      </w:pP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b/>
          <w:sz w:val="24"/>
          <w:szCs w:val="24"/>
          <w:lang w:eastAsia="zh-TW"/>
        </w:rPr>
      </w:pPr>
      <w:r w:rsidRPr="00236749">
        <w:rPr>
          <w:rFonts w:eastAsia="PMingLiU"/>
          <w:b/>
          <w:sz w:val="24"/>
          <w:szCs w:val="24"/>
          <w:lang w:eastAsia="zh-TW"/>
        </w:rPr>
        <w:t>ORGANISATION FOR ECONOMIC COOPERATION AND DEVELOPMENT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b/>
          <w:sz w:val="24"/>
          <w:szCs w:val="24"/>
          <w:lang w:eastAsia="zh-TW"/>
        </w:rPr>
      </w:pPr>
      <w:r w:rsidRPr="00236749">
        <w:rPr>
          <w:rFonts w:eastAsia="PMingLiU"/>
          <w:b/>
          <w:sz w:val="24"/>
          <w:szCs w:val="24"/>
          <w:lang w:eastAsia="zh-TW"/>
        </w:rPr>
        <w:t>Nuclear Energy Agency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b/>
          <w:sz w:val="24"/>
          <w:szCs w:val="24"/>
          <w:lang w:eastAsia="zh-TW"/>
        </w:rPr>
      </w:pPr>
      <w:r w:rsidRPr="00236749">
        <w:rPr>
          <w:rFonts w:eastAsia="PMingLiU"/>
          <w:b/>
          <w:sz w:val="24"/>
          <w:szCs w:val="24"/>
          <w:lang w:eastAsia="zh-TW"/>
        </w:rPr>
        <w:t>Nuclear Science Committee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spacing w:after="120"/>
        <w:jc w:val="center"/>
        <w:rPr>
          <w:rFonts w:eastAsia="PMingLiU"/>
          <w:b/>
          <w:sz w:val="24"/>
          <w:szCs w:val="24"/>
          <w:lang w:eastAsia="zh-TW"/>
        </w:rPr>
      </w:pPr>
      <w:r w:rsidRPr="00236749">
        <w:rPr>
          <w:rFonts w:eastAsia="PMingLiU"/>
          <w:b/>
          <w:sz w:val="24"/>
          <w:szCs w:val="24"/>
          <w:lang w:eastAsia="zh-TW"/>
        </w:rPr>
        <w:t>Working Party on Nuclear Criticality Safety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b/>
          <w:sz w:val="24"/>
          <w:szCs w:val="24"/>
          <w:lang w:eastAsia="zh-TW"/>
        </w:rPr>
      </w:pPr>
      <w:r w:rsidRPr="00236749">
        <w:rPr>
          <w:rFonts w:eastAsia="PMingLiU"/>
          <w:b/>
          <w:sz w:val="24"/>
          <w:szCs w:val="24"/>
          <w:lang w:eastAsia="zh-TW"/>
        </w:rPr>
        <w:t>3</w:t>
      </w:r>
      <w:r w:rsidRPr="00236749">
        <w:rPr>
          <w:rFonts w:eastAsia="PMingLiU"/>
          <w:b/>
          <w:sz w:val="24"/>
          <w:szCs w:val="24"/>
          <w:vertAlign w:val="superscript"/>
          <w:lang w:eastAsia="zh-TW"/>
        </w:rPr>
        <w:t>rd</w:t>
      </w:r>
      <w:r w:rsidRPr="00236749">
        <w:rPr>
          <w:rFonts w:eastAsia="PMingLiU"/>
          <w:b/>
          <w:sz w:val="24"/>
          <w:szCs w:val="24"/>
          <w:lang w:eastAsia="zh-TW"/>
        </w:rPr>
        <w:t xml:space="preserve"> Meeting of the Expert Group on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b/>
          <w:sz w:val="24"/>
          <w:szCs w:val="24"/>
          <w:lang w:eastAsia="zh-TW"/>
        </w:rPr>
      </w:pPr>
      <w:r w:rsidRPr="00236749">
        <w:rPr>
          <w:rFonts w:eastAsia="PMingLiU"/>
          <w:b/>
          <w:sz w:val="24"/>
          <w:szCs w:val="24"/>
          <w:lang w:eastAsia="zh-TW"/>
        </w:rPr>
        <w:t xml:space="preserve"> Advanced Monte Carlo Techniques for Criticality Safety Assessment (EGAMCT)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  <w:lang w:eastAsia="zh-TW"/>
        </w:rPr>
      </w:pP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  <w:lang w:eastAsia="zh-TW"/>
        </w:rPr>
      </w:pPr>
      <w:r w:rsidRPr="00236749">
        <w:rPr>
          <w:rFonts w:eastAsia="PMingLiU"/>
          <w:sz w:val="24"/>
          <w:szCs w:val="24"/>
          <w:lang w:eastAsia="zh-TW"/>
        </w:rPr>
        <w:t>Friday October 25 2013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  <w:lang w:eastAsia="zh-TW"/>
        </w:rPr>
      </w:pPr>
      <w:proofErr w:type="spellStart"/>
      <w:r w:rsidRPr="00236749">
        <w:rPr>
          <w:rFonts w:eastAsia="PMingLiU"/>
          <w:sz w:val="24"/>
          <w:szCs w:val="24"/>
          <w:lang w:eastAsia="zh-TW"/>
        </w:rPr>
        <w:t>Kurchatov</w:t>
      </w:r>
      <w:proofErr w:type="spellEnd"/>
      <w:r w:rsidRPr="00236749">
        <w:rPr>
          <w:rFonts w:eastAsia="PMingLiU"/>
          <w:sz w:val="24"/>
          <w:szCs w:val="24"/>
          <w:lang w:eastAsia="zh-TW"/>
        </w:rPr>
        <w:t xml:space="preserve"> Institute, Moscow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  <w:lang w:eastAsia="zh-TW"/>
        </w:rPr>
      </w:pPr>
      <w:r w:rsidRPr="00236749">
        <w:rPr>
          <w:rFonts w:eastAsia="PMingLiU"/>
          <w:sz w:val="24"/>
          <w:szCs w:val="24"/>
          <w:lang w:eastAsia="zh-TW"/>
        </w:rPr>
        <w:t>Russian Federation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  <w:lang w:eastAsia="zh-TW"/>
        </w:rPr>
      </w:pPr>
    </w:p>
    <w:p w:rsidR="00236749" w:rsidRPr="00236749" w:rsidRDefault="00236749" w:rsidP="00236749">
      <w:pPr>
        <w:pStyle w:val="Default"/>
        <w:jc w:val="center"/>
        <w:rPr>
          <w:b/>
          <w:bCs/>
        </w:rPr>
      </w:pPr>
      <w:r w:rsidRPr="00236749">
        <w:rPr>
          <w:b/>
          <w:bCs/>
        </w:rPr>
        <w:t>AGENDA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236749">
        <w:rPr>
          <w:rFonts w:eastAsiaTheme="minorHAnsi"/>
          <w:b/>
          <w:color w:val="000000"/>
          <w:sz w:val="24"/>
          <w:szCs w:val="24"/>
          <w:lang w:eastAsia="en-US"/>
        </w:rPr>
        <w:t xml:space="preserve">Meeting </w:t>
      </w:r>
      <w:proofErr w:type="gramStart"/>
      <w:r w:rsidRPr="00236749">
        <w:rPr>
          <w:rFonts w:eastAsiaTheme="minorHAnsi"/>
          <w:b/>
          <w:color w:val="000000"/>
          <w:sz w:val="24"/>
          <w:szCs w:val="24"/>
          <w:lang w:eastAsia="en-US"/>
        </w:rPr>
        <w:t>venue :</w:t>
      </w:r>
      <w:proofErr w:type="gramEnd"/>
      <w:r w:rsidRPr="00236749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236749">
        <w:rPr>
          <w:rFonts w:eastAsiaTheme="minorHAnsi"/>
          <w:b/>
          <w:color w:val="000000"/>
          <w:sz w:val="24"/>
          <w:szCs w:val="24"/>
          <w:lang w:eastAsia="en-US"/>
        </w:rPr>
        <w:t>Kurchatov</w:t>
      </w:r>
      <w:proofErr w:type="spellEnd"/>
      <w:r w:rsidRPr="00236749">
        <w:rPr>
          <w:rFonts w:eastAsiaTheme="minorHAnsi"/>
          <w:b/>
          <w:color w:val="000000"/>
          <w:sz w:val="24"/>
          <w:szCs w:val="24"/>
          <w:lang w:eastAsia="en-US"/>
        </w:rPr>
        <w:t xml:space="preserve"> Institute “Building 3”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center"/>
        <w:rPr>
          <w:rFonts w:eastAsia="PMingLiU"/>
          <w:sz w:val="24"/>
          <w:szCs w:val="24"/>
          <w:lang w:eastAsia="zh-TW"/>
        </w:rPr>
      </w:pPr>
      <w:r w:rsidRPr="00236749">
        <w:rPr>
          <w:rFonts w:eastAsiaTheme="minorHAnsi"/>
          <w:i/>
          <w:iCs/>
          <w:color w:val="000000"/>
          <w:sz w:val="24"/>
          <w:szCs w:val="24"/>
          <w:lang w:eastAsia="en-US"/>
        </w:rPr>
        <w:t>Proposed Meeting Schedule: 9h00 – 18h00</w:t>
      </w:r>
    </w:p>
    <w:p w:rsid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ascii="TimesNewRoman" w:eastAsia="PMingLiU" w:hAnsi="TimesNewRoman" w:cs="TimesNewRoman"/>
          <w:lang w:eastAsia="zh-TW"/>
        </w:rPr>
      </w:pPr>
    </w:p>
    <w:p w:rsidR="00236749" w:rsidRPr="00236749" w:rsidRDefault="00236749" w:rsidP="00236749">
      <w:pPr>
        <w:numPr>
          <w:ilvl w:val="0"/>
          <w:numId w:val="15"/>
        </w:numPr>
        <w:tabs>
          <w:tab w:val="clear" w:pos="850"/>
          <w:tab w:val="clear" w:pos="1191"/>
          <w:tab w:val="clear" w:pos="1531"/>
          <w:tab w:val="left" w:pos="708"/>
        </w:tabs>
        <w:autoSpaceDE w:val="0"/>
        <w:autoSpaceDN w:val="0"/>
        <w:adjustRightInd w:val="0"/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>Welcome –</w:t>
      </w:r>
      <w:r w:rsidRPr="00236749">
        <w:rPr>
          <w:rFonts w:eastAsia="PMingLiU"/>
          <w:i/>
          <w:sz w:val="18"/>
          <w:szCs w:val="18"/>
          <w:lang w:eastAsia="zh-TW"/>
        </w:rPr>
        <w:t xml:space="preserve"> J. Miss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0"/>
          <w:numId w:val="15"/>
        </w:numPr>
        <w:tabs>
          <w:tab w:val="clear" w:pos="850"/>
          <w:tab w:val="clear" w:pos="1191"/>
          <w:tab w:val="clear" w:pos="1531"/>
          <w:tab w:val="left" w:pos="708"/>
        </w:tabs>
        <w:autoSpaceDE w:val="0"/>
        <w:autoSpaceDN w:val="0"/>
        <w:adjustRightInd w:val="0"/>
        <w:jc w:val="left"/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Approval of the agenda, review of actions from past meeting and approval of summary record - </w:t>
      </w:r>
      <w:r w:rsidRPr="00236749">
        <w:rPr>
          <w:rFonts w:eastAsia="PMingLiU"/>
          <w:i/>
          <w:sz w:val="18"/>
          <w:szCs w:val="18"/>
          <w:lang w:eastAsia="zh-TW"/>
        </w:rPr>
        <w:t>Secretariat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0"/>
          <w:numId w:val="15"/>
        </w:numPr>
        <w:tabs>
          <w:tab w:val="clear" w:pos="850"/>
          <w:tab w:val="clear" w:pos="1191"/>
          <w:tab w:val="clear" w:pos="1531"/>
          <w:tab w:val="left" w:pos="708"/>
        </w:tabs>
        <w:autoSpaceDE w:val="0"/>
        <w:autoSpaceDN w:val="0"/>
        <w:adjustRightInd w:val="0"/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Presentations </w:t>
      </w: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Presentation of activities of the EGAMCT – </w:t>
      </w:r>
      <w:r w:rsidRPr="00236749">
        <w:rPr>
          <w:rFonts w:eastAsia="PMingLiU"/>
          <w:i/>
          <w:sz w:val="18"/>
          <w:szCs w:val="18"/>
          <w:lang w:eastAsia="zh-TW"/>
        </w:rPr>
        <w:t>J. Miss</w:t>
      </w:r>
    </w:p>
    <w:p w:rsidR="00236749" w:rsidRPr="00236749" w:rsidRDefault="00236749" w:rsidP="00236749">
      <w:pPr>
        <w:numPr>
          <w:ilvl w:val="2"/>
          <w:numId w:val="15"/>
        </w:numPr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i/>
          <w:sz w:val="18"/>
          <w:szCs w:val="18"/>
          <w:lang w:eastAsia="zh-TW"/>
        </w:rPr>
        <w:t>Benchmark Phase I specifications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>First results for Benchmark Phase I</w:t>
      </w:r>
    </w:p>
    <w:p w:rsidR="00236749" w:rsidRPr="00236749" w:rsidRDefault="00236749" w:rsidP="00236749">
      <w:pPr>
        <w:numPr>
          <w:ilvl w:val="2"/>
          <w:numId w:val="15"/>
        </w:numPr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i/>
          <w:sz w:val="18"/>
          <w:szCs w:val="18"/>
          <w:lang w:eastAsia="zh-TW"/>
        </w:rPr>
        <w:t xml:space="preserve">Preliminary SCALE results – B. </w:t>
      </w:r>
      <w:proofErr w:type="spellStart"/>
      <w:r w:rsidRPr="00236749">
        <w:rPr>
          <w:rFonts w:eastAsia="PMingLiU"/>
          <w:i/>
          <w:sz w:val="18"/>
          <w:szCs w:val="18"/>
          <w:lang w:eastAsia="zh-TW"/>
        </w:rPr>
        <w:t>Rearden</w:t>
      </w:r>
      <w:proofErr w:type="spellEnd"/>
      <w:r w:rsidRPr="00236749">
        <w:rPr>
          <w:rFonts w:eastAsia="PMingLiU"/>
          <w:i/>
          <w:sz w:val="18"/>
          <w:szCs w:val="18"/>
          <w:lang w:eastAsia="zh-TW"/>
        </w:rPr>
        <w:t xml:space="preserve"> (ORNL)</w:t>
      </w:r>
    </w:p>
    <w:p w:rsidR="00236749" w:rsidRPr="00236749" w:rsidRDefault="00236749" w:rsidP="00236749">
      <w:pPr>
        <w:numPr>
          <w:ilvl w:val="2"/>
          <w:numId w:val="15"/>
        </w:numPr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i/>
          <w:sz w:val="18"/>
          <w:szCs w:val="18"/>
          <w:lang w:eastAsia="zh-TW"/>
        </w:rPr>
        <w:t xml:space="preserve">Preliminary results on the Cases S1 to S3 – M. </w:t>
      </w:r>
      <w:proofErr w:type="spellStart"/>
      <w:r w:rsidRPr="00236749">
        <w:rPr>
          <w:rFonts w:eastAsia="PMingLiU"/>
          <w:i/>
          <w:sz w:val="18"/>
          <w:szCs w:val="18"/>
          <w:lang w:eastAsia="zh-TW"/>
        </w:rPr>
        <w:t>Stuke</w:t>
      </w:r>
      <w:proofErr w:type="spellEnd"/>
      <w:r w:rsidRPr="00236749">
        <w:rPr>
          <w:rFonts w:eastAsia="PMingLiU"/>
          <w:i/>
          <w:sz w:val="18"/>
          <w:szCs w:val="18"/>
          <w:lang w:eastAsia="zh-TW"/>
        </w:rPr>
        <w:t xml:space="preserve"> (GRS)</w:t>
      </w:r>
    </w:p>
    <w:p w:rsidR="00236749" w:rsidRPr="00236749" w:rsidRDefault="00236749" w:rsidP="00236749">
      <w:pPr>
        <w:numPr>
          <w:ilvl w:val="2"/>
          <w:numId w:val="15"/>
        </w:numPr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i/>
          <w:sz w:val="18"/>
          <w:szCs w:val="18"/>
          <w:lang w:eastAsia="zh-TW"/>
        </w:rPr>
        <w:t>Preliminary results on Case R1 using various sources sampling methods – J. MISS</w:t>
      </w:r>
    </w:p>
    <w:p w:rsidR="00236749" w:rsidRPr="00236749" w:rsidRDefault="00236749" w:rsidP="00236749">
      <w:pPr>
        <w:numPr>
          <w:ilvl w:val="2"/>
          <w:numId w:val="15"/>
        </w:numPr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i/>
          <w:sz w:val="18"/>
          <w:szCs w:val="18"/>
          <w:lang w:eastAsia="zh-TW"/>
        </w:rPr>
        <w:t>Preliminary results on Case R3 – K. Burn (ENEA)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The verification of the statistical algorithm for high concentration fuel pebbles – </w:t>
      </w:r>
      <w:r w:rsidRPr="00236749">
        <w:rPr>
          <w:rFonts w:eastAsia="PMingLiU"/>
          <w:i/>
          <w:sz w:val="18"/>
          <w:szCs w:val="18"/>
          <w:lang w:eastAsia="zh-TW"/>
        </w:rPr>
        <w:t xml:space="preserve">M. </w:t>
      </w:r>
      <w:proofErr w:type="spellStart"/>
      <w:r w:rsidRPr="00236749">
        <w:rPr>
          <w:rFonts w:eastAsia="PMingLiU"/>
          <w:i/>
          <w:sz w:val="18"/>
          <w:szCs w:val="18"/>
          <w:lang w:eastAsia="zh-TW"/>
        </w:rPr>
        <w:t>Gurevich</w:t>
      </w:r>
      <w:proofErr w:type="spellEnd"/>
      <w:r w:rsidRPr="00236749">
        <w:rPr>
          <w:rFonts w:eastAsia="PMingLiU"/>
          <w:i/>
          <w:sz w:val="18"/>
          <w:szCs w:val="18"/>
          <w:lang w:eastAsia="zh-TW"/>
        </w:rPr>
        <w:t xml:space="preserve"> (</w:t>
      </w:r>
      <w:proofErr w:type="spellStart"/>
      <w:r w:rsidRPr="00236749">
        <w:rPr>
          <w:rFonts w:eastAsia="PMingLiU"/>
          <w:i/>
          <w:sz w:val="18"/>
          <w:szCs w:val="18"/>
          <w:lang w:eastAsia="zh-TW"/>
        </w:rPr>
        <w:t>Kurchatov</w:t>
      </w:r>
      <w:proofErr w:type="spellEnd"/>
      <w:r w:rsidRPr="00236749">
        <w:rPr>
          <w:rFonts w:eastAsia="PMingLiU"/>
          <w:i/>
          <w:sz w:val="18"/>
          <w:szCs w:val="18"/>
          <w:lang w:eastAsia="zh-TW"/>
        </w:rPr>
        <w:t xml:space="preserve"> Institute) 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sz w:val="18"/>
          <w:szCs w:val="18"/>
          <w:lang w:eastAsia="zh-TW"/>
        </w:rPr>
      </w:pPr>
      <w:bookmarkStart w:id="1" w:name="OLE_LINK3"/>
      <w:bookmarkStart w:id="2" w:name="OLE_LINK4"/>
      <w:proofErr w:type="spellStart"/>
      <w:r w:rsidRPr="00236749">
        <w:rPr>
          <w:rFonts w:eastAsia="PMingLiU"/>
          <w:sz w:val="18"/>
          <w:szCs w:val="18"/>
          <w:lang w:eastAsia="zh-TW"/>
        </w:rPr>
        <w:t>Subcriticality</w:t>
      </w:r>
      <w:proofErr w:type="spellEnd"/>
      <w:r w:rsidRPr="00236749">
        <w:rPr>
          <w:rFonts w:eastAsia="PMingLiU"/>
          <w:sz w:val="18"/>
          <w:szCs w:val="18"/>
          <w:lang w:eastAsia="zh-TW"/>
        </w:rPr>
        <w:t xml:space="preserve"> analysis for a spent fuel pool with heterogeneous fuel loading – </w:t>
      </w:r>
      <w:r w:rsidRPr="00236749">
        <w:rPr>
          <w:rFonts w:eastAsia="PMingLiU"/>
          <w:i/>
          <w:sz w:val="18"/>
          <w:szCs w:val="18"/>
          <w:lang w:eastAsia="zh-TW"/>
        </w:rPr>
        <w:t xml:space="preserve">G. </w:t>
      </w:r>
      <w:proofErr w:type="spellStart"/>
      <w:r w:rsidRPr="00236749">
        <w:rPr>
          <w:rFonts w:eastAsia="PMingLiU"/>
          <w:i/>
          <w:sz w:val="18"/>
          <w:szCs w:val="18"/>
          <w:lang w:eastAsia="zh-TW"/>
        </w:rPr>
        <w:t>Hordosy</w:t>
      </w:r>
      <w:proofErr w:type="spellEnd"/>
      <w:r w:rsidRPr="00236749">
        <w:rPr>
          <w:rFonts w:eastAsia="PMingLiU"/>
          <w:i/>
          <w:sz w:val="18"/>
          <w:szCs w:val="18"/>
          <w:lang w:eastAsia="zh-TW"/>
        </w:rPr>
        <w:t xml:space="preserve"> (Centre for Energy Research)</w:t>
      </w:r>
    </w:p>
    <w:bookmarkEnd w:id="1"/>
    <w:bookmarkEnd w:id="2"/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Latest ORNL Monte Carlo and data developments – </w:t>
      </w:r>
      <w:r w:rsidRPr="00236749">
        <w:rPr>
          <w:rFonts w:eastAsia="PMingLiU"/>
          <w:i/>
          <w:sz w:val="18"/>
          <w:szCs w:val="18"/>
          <w:lang w:eastAsia="zh-TW"/>
        </w:rPr>
        <w:t xml:space="preserve">B. </w:t>
      </w:r>
      <w:proofErr w:type="spellStart"/>
      <w:r w:rsidRPr="00236749">
        <w:rPr>
          <w:rFonts w:eastAsia="PMingLiU"/>
          <w:i/>
          <w:sz w:val="18"/>
          <w:szCs w:val="18"/>
          <w:lang w:eastAsia="zh-TW"/>
        </w:rPr>
        <w:t>Rearden</w:t>
      </w:r>
      <w:proofErr w:type="spellEnd"/>
      <w:r w:rsidRPr="00236749">
        <w:rPr>
          <w:rFonts w:eastAsia="PMingLiU"/>
          <w:i/>
          <w:sz w:val="18"/>
          <w:szCs w:val="18"/>
          <w:lang w:eastAsia="zh-TW"/>
        </w:rPr>
        <w:t xml:space="preserve"> (ORNL)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03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i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Monte Carlo convergence issues with an application criticality case managed by mathematical algorithms – </w:t>
      </w:r>
      <w:r w:rsidRPr="00236749">
        <w:rPr>
          <w:rFonts w:eastAsia="PMingLiU"/>
          <w:i/>
          <w:sz w:val="18"/>
          <w:szCs w:val="18"/>
          <w:lang w:eastAsia="zh-TW"/>
        </w:rPr>
        <w:t>Y. Richet (IRSN)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26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Prospective use of Monte Carlo techniques for the evaluation and the optimization of an electric mix in a territory – </w:t>
      </w:r>
      <w:r w:rsidRPr="00236749">
        <w:rPr>
          <w:rFonts w:eastAsia="PMingLiU"/>
          <w:i/>
          <w:sz w:val="18"/>
          <w:szCs w:val="18"/>
          <w:lang w:eastAsia="zh-TW"/>
        </w:rPr>
        <w:t xml:space="preserve">Y. Richet (IRSN) </w:t>
      </w:r>
      <w:r w:rsidRPr="00236749">
        <w:rPr>
          <w:rFonts w:eastAsia="PMingLiU"/>
          <w:i/>
          <w:sz w:val="18"/>
          <w:szCs w:val="18"/>
          <w:lang w:eastAsia="zh-TW"/>
        </w:rPr>
        <w:br/>
        <w:t>(to be confirmed)</w:t>
      </w:r>
    </w:p>
    <w:p w:rsidR="00236749" w:rsidRPr="00236749" w:rsidRDefault="00236749" w:rsidP="00236749">
      <w:pPr>
        <w:ind w:left="1440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iCs/>
          <w:sz w:val="18"/>
          <w:szCs w:val="18"/>
          <w:lang w:val="en-US"/>
        </w:rPr>
        <w:t>Optimizing Variance Reduction in Monte Carlo Eigenvalue Calculations with the Source Iteration Approach</w:t>
      </w:r>
      <w:r w:rsidRPr="00236749">
        <w:rPr>
          <w:i/>
          <w:iCs/>
          <w:sz w:val="18"/>
          <w:szCs w:val="18"/>
          <w:lang w:val="en-US"/>
        </w:rPr>
        <w:t xml:space="preserve"> – K. Burn (ENEA)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03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1"/>
          <w:numId w:val="15"/>
        </w:numPr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>Additional presentations following approval of the agenda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03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0"/>
          <w:numId w:val="15"/>
        </w:numPr>
        <w:tabs>
          <w:tab w:val="clear" w:pos="850"/>
          <w:tab w:val="clear" w:pos="1191"/>
          <w:tab w:val="clear" w:pos="1531"/>
          <w:tab w:val="left" w:pos="708"/>
        </w:tabs>
        <w:autoSpaceDE w:val="0"/>
        <w:autoSpaceDN w:val="0"/>
        <w:adjustRightInd w:val="0"/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Identification of other activities/studies 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403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0"/>
          <w:numId w:val="15"/>
        </w:numPr>
        <w:tabs>
          <w:tab w:val="clear" w:pos="850"/>
          <w:tab w:val="clear" w:pos="1191"/>
          <w:tab w:val="clear" w:pos="1531"/>
          <w:tab w:val="left" w:pos="708"/>
        </w:tabs>
        <w:autoSpaceDE w:val="0"/>
        <w:autoSpaceDN w:val="0"/>
        <w:adjustRightInd w:val="0"/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 xml:space="preserve">Any other business (next meeting): </w:t>
      </w:r>
      <w:r w:rsidRPr="00236749">
        <w:rPr>
          <w:rFonts w:eastAsia="PMingLiU"/>
          <w:i/>
          <w:sz w:val="18"/>
          <w:szCs w:val="18"/>
          <w:lang w:eastAsia="zh-TW"/>
        </w:rPr>
        <w:t>All</w:t>
      </w:r>
    </w:p>
    <w:p w:rsidR="00236749" w:rsidRPr="00236749" w:rsidRDefault="00236749" w:rsidP="00236749">
      <w:pPr>
        <w:tabs>
          <w:tab w:val="left" w:pos="708"/>
        </w:tabs>
        <w:autoSpaceDE w:val="0"/>
        <w:autoSpaceDN w:val="0"/>
        <w:adjustRightInd w:val="0"/>
        <w:ind w:left="720"/>
        <w:jc w:val="left"/>
        <w:rPr>
          <w:rFonts w:eastAsia="PMingLiU"/>
          <w:sz w:val="18"/>
          <w:szCs w:val="18"/>
          <w:lang w:eastAsia="zh-TW"/>
        </w:rPr>
      </w:pPr>
    </w:p>
    <w:p w:rsidR="00236749" w:rsidRPr="00236749" w:rsidRDefault="00236749" w:rsidP="00236749">
      <w:pPr>
        <w:numPr>
          <w:ilvl w:val="0"/>
          <w:numId w:val="15"/>
        </w:numPr>
        <w:tabs>
          <w:tab w:val="clear" w:pos="850"/>
          <w:tab w:val="clear" w:pos="1191"/>
          <w:tab w:val="clear" w:pos="1531"/>
          <w:tab w:val="left" w:pos="708"/>
        </w:tabs>
        <w:autoSpaceDE w:val="0"/>
        <w:autoSpaceDN w:val="0"/>
        <w:adjustRightInd w:val="0"/>
        <w:jc w:val="left"/>
        <w:rPr>
          <w:rFonts w:eastAsia="PMingLiU"/>
          <w:sz w:val="18"/>
          <w:szCs w:val="18"/>
          <w:lang w:eastAsia="zh-TW"/>
        </w:rPr>
      </w:pPr>
      <w:r w:rsidRPr="00236749">
        <w:rPr>
          <w:rFonts w:eastAsia="PMingLiU"/>
          <w:sz w:val="18"/>
          <w:szCs w:val="18"/>
          <w:lang w:eastAsia="zh-TW"/>
        </w:rPr>
        <w:t>Adjourn</w:t>
      </w:r>
    </w:p>
    <w:p w:rsidR="00CA125A" w:rsidRPr="00236749" w:rsidRDefault="00CA125A" w:rsidP="00236749">
      <w:pPr>
        <w:rPr>
          <w:sz w:val="18"/>
          <w:szCs w:val="18"/>
        </w:rPr>
      </w:pPr>
    </w:p>
    <w:p w:rsidR="00011C14" w:rsidRDefault="00011C14" w:rsidP="0020239E"/>
    <w:p w:rsidR="004F173C" w:rsidRDefault="004F173C" w:rsidP="0020239E"/>
    <w:p w:rsidR="004F173C" w:rsidRDefault="004F173C" w:rsidP="0020239E"/>
    <w:p w:rsidR="004F173C" w:rsidRPr="00EB0851" w:rsidRDefault="00EB0851" w:rsidP="00EB0851">
      <w:pPr>
        <w:jc w:val="center"/>
        <w:rPr>
          <w:b/>
        </w:rPr>
      </w:pPr>
      <w:r w:rsidRPr="00EB0851">
        <w:rPr>
          <w:b/>
        </w:rPr>
        <w:t>APPENDIX B</w:t>
      </w:r>
    </w:p>
    <w:p w:rsidR="00EB0851" w:rsidRPr="00EB0851" w:rsidRDefault="00EB0851" w:rsidP="00EB0851">
      <w:pPr>
        <w:jc w:val="center"/>
        <w:rPr>
          <w:b/>
        </w:rPr>
      </w:pPr>
    </w:p>
    <w:p w:rsidR="00EB0851" w:rsidRDefault="00EB0851" w:rsidP="00EB0851">
      <w:pPr>
        <w:jc w:val="center"/>
        <w:rPr>
          <w:b/>
        </w:rPr>
      </w:pPr>
      <w:r w:rsidRPr="00EB0851">
        <w:rPr>
          <w:b/>
        </w:rPr>
        <w:t>List of Participants to EG</w:t>
      </w:r>
      <w:r w:rsidR="00236749">
        <w:rPr>
          <w:b/>
        </w:rPr>
        <w:t>AMCT</w:t>
      </w:r>
      <w:r w:rsidRPr="00EB0851">
        <w:rPr>
          <w:b/>
        </w:rPr>
        <w:t xml:space="preserve"> meeting of October 2</w:t>
      </w:r>
      <w:r w:rsidR="00236749">
        <w:rPr>
          <w:b/>
        </w:rPr>
        <w:t>5</w:t>
      </w:r>
      <w:r w:rsidRPr="00EB0851">
        <w:rPr>
          <w:b/>
          <w:vertAlign w:val="superscript"/>
        </w:rPr>
        <w:t>th</w:t>
      </w:r>
      <w:r>
        <w:rPr>
          <w:b/>
        </w:rPr>
        <w:t xml:space="preserve">, 2013 </w:t>
      </w:r>
    </w:p>
    <w:p w:rsidR="00EB0851" w:rsidRDefault="00EB0851" w:rsidP="00EB0851">
      <w:pPr>
        <w:jc w:val="center"/>
        <w:rPr>
          <w:b/>
        </w:rPr>
      </w:pPr>
      <w:proofErr w:type="spellStart"/>
      <w:r w:rsidRPr="00EB0851">
        <w:rPr>
          <w:b/>
        </w:rPr>
        <w:t>Ku</w:t>
      </w:r>
      <w:r>
        <w:rPr>
          <w:b/>
        </w:rPr>
        <w:t>rchatov</w:t>
      </w:r>
      <w:proofErr w:type="spellEnd"/>
      <w:r>
        <w:rPr>
          <w:b/>
        </w:rPr>
        <w:t xml:space="preserve"> Institute, Moscow</w:t>
      </w:r>
    </w:p>
    <w:p w:rsidR="00821D89" w:rsidRDefault="00821D89" w:rsidP="00EB0851">
      <w:pPr>
        <w:jc w:val="center"/>
        <w:rPr>
          <w:b/>
        </w:rPr>
      </w:pPr>
    </w:p>
    <w:p w:rsidR="00821D89" w:rsidRDefault="00821D89" w:rsidP="00EB0851">
      <w:pPr>
        <w:jc w:val="center"/>
        <w:rPr>
          <w:b/>
        </w:rPr>
      </w:pPr>
    </w:p>
    <w:p w:rsidR="00821D89" w:rsidRDefault="00821D89" w:rsidP="00EB0851">
      <w:pPr>
        <w:jc w:val="center"/>
        <w:rPr>
          <w:b/>
        </w:rPr>
      </w:pPr>
    </w:p>
    <w:tbl>
      <w:tblPr>
        <w:tblStyle w:val="TableGrid"/>
        <w:tblW w:w="6120" w:type="dxa"/>
        <w:jc w:val="center"/>
        <w:tblLook w:val="04A0" w:firstRow="1" w:lastRow="0" w:firstColumn="1" w:lastColumn="0" w:noHBand="0" w:noVBand="1"/>
      </w:tblPr>
      <w:tblGrid>
        <w:gridCol w:w="2860"/>
        <w:gridCol w:w="3260"/>
      </w:tblGrid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21D89">
              <w:rPr>
                <w:rFonts w:ascii="Calibri" w:hAnsi="Calibri" w:cs="Calibri"/>
                <w:color w:val="000000"/>
                <w:lang w:val="fr-FR" w:eastAsia="fr-FR"/>
              </w:rPr>
              <w:t>Name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21D89">
              <w:rPr>
                <w:rFonts w:ascii="Calibri" w:hAnsi="Calibri" w:cs="Calibri"/>
                <w:color w:val="000000"/>
                <w:lang w:val="fr-FR" w:eastAsia="fr-FR"/>
              </w:rPr>
              <w:t xml:space="preserve">Email </w:t>
            </w:r>
            <w:proofErr w:type="spellStart"/>
            <w:r w:rsidRPr="00821D89">
              <w:rPr>
                <w:rFonts w:ascii="Calibri" w:hAnsi="Calibri" w:cs="Calibri"/>
                <w:color w:val="000000"/>
                <w:lang w:val="fr-FR" w:eastAsia="fr-FR"/>
              </w:rPr>
              <w:t>address</w:t>
            </w:r>
            <w:proofErr w:type="spellEnd"/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Joachim MISS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joachim.miss@irsn.fr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Chris PERFETTI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perfetticm@ornl.gov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Alain SANTAMARINA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alain.santamarina@cea.fr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Matthias BEHLER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Matthias.Behler@grs.de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Yann RICHET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yann.richet@irsn.fr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Marco PECCHIA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marco.pecchia@psi.ch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Paul N. SMITH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paul.smith3@amec.com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Alexander VASILIEV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alexander.vasiliev@psi.ch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Kenneth William BURN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kburn@enea.it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Mikhail GUREVICH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gur.m@mail.ru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Gabor HORDOSY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hordosy.gabor@energia.mta.hu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proofErr w:type="spellStart"/>
            <w:r w:rsidRPr="00821D89">
              <w:rPr>
                <w:rFonts w:ascii="Calibri" w:hAnsi="Calibri" w:cs="Calibri"/>
                <w:lang w:val="fr-FR" w:eastAsia="fr-FR"/>
              </w:rPr>
              <w:t>Evgeny</w:t>
            </w:r>
            <w:proofErr w:type="spellEnd"/>
            <w:r w:rsidRPr="00821D89">
              <w:rPr>
                <w:rFonts w:ascii="Calibri" w:hAnsi="Calibri" w:cs="Calibri"/>
                <w:lang w:val="fr-FR" w:eastAsia="fr-FR"/>
              </w:rPr>
              <w:t xml:space="preserve"> ZHEMCHUGOV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bnab@ippe.ru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proofErr w:type="spellStart"/>
            <w:r w:rsidRPr="00821D89">
              <w:rPr>
                <w:rFonts w:ascii="Calibri" w:hAnsi="Calibri" w:cs="Calibri"/>
                <w:lang w:val="fr-FR" w:eastAsia="fr-FR"/>
              </w:rPr>
              <w:t>Kirill</w:t>
            </w:r>
            <w:proofErr w:type="spellEnd"/>
            <w:r w:rsidRPr="00821D89">
              <w:rPr>
                <w:rFonts w:ascii="Calibri" w:hAnsi="Calibri" w:cs="Calibri"/>
                <w:lang w:val="fr-FR" w:eastAsia="fr-FR"/>
              </w:rPr>
              <w:t xml:space="preserve"> RASKACH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abbn@ippe.ru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Andrei IAKUNIN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ayakunin@ippe.ru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Anton PEREGUDOV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peregudov.abbn@inbox.ru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 xml:space="preserve">Anatoly </w:t>
            </w:r>
            <w:proofErr w:type="spellStart"/>
            <w:r w:rsidRPr="00821D89">
              <w:rPr>
                <w:rFonts w:ascii="Calibri" w:hAnsi="Calibri" w:cs="Calibri"/>
                <w:lang w:val="fr-FR" w:eastAsia="fr-FR"/>
              </w:rPr>
              <w:t>Kochetkov</w:t>
            </w:r>
            <w:proofErr w:type="spellEnd"/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akochetk@sckcen.be</w:t>
            </w:r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>Ian HILL</w:t>
            </w:r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hyperlink r:id="rId17" w:history="1">
              <w:r w:rsidRPr="00CC34DC">
                <w:rPr>
                  <w:rFonts w:ascii="Calibri" w:hAnsi="Calibri" w:cs="Calibri"/>
                  <w:lang w:val="fr-FR" w:eastAsia="fr-FR"/>
                </w:rPr>
                <w:t>ian.hill@oecd.org</w:t>
              </w:r>
            </w:hyperlink>
          </w:p>
        </w:tc>
      </w:tr>
      <w:tr w:rsidR="00821D89" w:rsidRPr="00821D89" w:rsidTr="006965BF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821D89">
              <w:rPr>
                <w:rFonts w:ascii="Calibri" w:hAnsi="Calibri" w:cs="Calibri"/>
                <w:lang w:val="fr-FR" w:eastAsia="fr-FR"/>
              </w:rPr>
              <w:t xml:space="preserve">Franco </w:t>
            </w:r>
            <w:proofErr w:type="spellStart"/>
            <w:r w:rsidRPr="00821D89">
              <w:rPr>
                <w:rFonts w:ascii="Calibri" w:hAnsi="Calibri" w:cs="Calibri"/>
                <w:lang w:val="fr-FR" w:eastAsia="fr-FR"/>
              </w:rPr>
              <w:t>Michel-Sendis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21D89" w:rsidRPr="00821D89" w:rsidRDefault="00821D89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hyperlink r:id="rId18" w:history="1">
              <w:r w:rsidRPr="00CC34DC">
                <w:rPr>
                  <w:rFonts w:ascii="Calibri" w:hAnsi="Calibri" w:cs="Calibri"/>
                  <w:lang w:val="fr-FR" w:eastAsia="fr-FR"/>
                </w:rPr>
                <w:t>franco.michel-sendis@oecd.org</w:t>
              </w:r>
            </w:hyperlink>
          </w:p>
        </w:tc>
      </w:tr>
      <w:tr w:rsidR="006965BF" w:rsidRPr="00821D89" w:rsidTr="006965BF">
        <w:trPr>
          <w:trHeight w:val="300"/>
          <w:jc w:val="center"/>
        </w:trPr>
        <w:tc>
          <w:tcPr>
            <w:tcW w:w="2860" w:type="dxa"/>
            <w:noWrap/>
          </w:tcPr>
          <w:p w:rsidR="006965BF" w:rsidRPr="00CC34DC" w:rsidRDefault="006965BF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CC34DC">
              <w:rPr>
                <w:rFonts w:ascii="Calibri" w:hAnsi="Calibri" w:cs="Calibri"/>
                <w:lang w:val="fr-FR" w:eastAsia="fr-FR"/>
              </w:rPr>
              <w:t xml:space="preserve">Tatiana </w:t>
            </w:r>
            <w:proofErr w:type="spellStart"/>
            <w:r w:rsidRPr="00CC34DC">
              <w:rPr>
                <w:rFonts w:ascii="Calibri" w:hAnsi="Calibri" w:cs="Calibri"/>
                <w:lang w:val="fr-FR" w:eastAsia="fr-FR"/>
              </w:rPr>
              <w:t>Ivanova</w:t>
            </w:r>
            <w:proofErr w:type="spellEnd"/>
          </w:p>
        </w:tc>
        <w:tc>
          <w:tcPr>
            <w:tcW w:w="3260" w:type="dxa"/>
            <w:noWrap/>
          </w:tcPr>
          <w:p w:rsidR="006965BF" w:rsidRPr="00CC34DC" w:rsidRDefault="006965BF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CC34DC">
              <w:rPr>
                <w:rFonts w:ascii="Calibri" w:hAnsi="Calibri" w:cs="Calibri"/>
                <w:lang w:val="fr-FR" w:eastAsia="fr-FR"/>
              </w:rPr>
              <w:t>Tatiana.ivanova@irsn.fr</w:t>
            </w:r>
          </w:p>
        </w:tc>
      </w:tr>
      <w:tr w:rsidR="006965BF" w:rsidRPr="00821D89" w:rsidTr="006965BF">
        <w:trPr>
          <w:trHeight w:val="300"/>
          <w:jc w:val="center"/>
        </w:trPr>
        <w:tc>
          <w:tcPr>
            <w:tcW w:w="2860" w:type="dxa"/>
            <w:noWrap/>
          </w:tcPr>
          <w:p w:rsidR="006965BF" w:rsidRPr="00CC34DC" w:rsidRDefault="006965BF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CC34DC">
              <w:rPr>
                <w:rFonts w:ascii="Calibri" w:hAnsi="Calibri" w:cs="Calibri"/>
                <w:lang w:val="fr-FR" w:eastAsia="fr-FR"/>
              </w:rPr>
              <w:t xml:space="preserve">Brad </w:t>
            </w:r>
            <w:proofErr w:type="spellStart"/>
            <w:r w:rsidRPr="00CC34DC">
              <w:rPr>
                <w:rFonts w:ascii="Calibri" w:hAnsi="Calibri" w:cs="Calibri"/>
                <w:lang w:val="fr-FR" w:eastAsia="fr-FR"/>
              </w:rPr>
              <w:t>Rearden</w:t>
            </w:r>
            <w:proofErr w:type="spellEnd"/>
          </w:p>
        </w:tc>
        <w:tc>
          <w:tcPr>
            <w:tcW w:w="3260" w:type="dxa"/>
            <w:noWrap/>
          </w:tcPr>
          <w:p w:rsidR="006965BF" w:rsidRPr="00CC34DC" w:rsidRDefault="006965BF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CC34DC">
              <w:rPr>
                <w:rFonts w:ascii="Calibri" w:hAnsi="Calibri" w:cs="Calibri"/>
                <w:lang w:val="fr-FR" w:eastAsia="fr-FR"/>
              </w:rPr>
              <w:t>reardenb@ornl.gov</w:t>
            </w:r>
          </w:p>
        </w:tc>
      </w:tr>
      <w:tr w:rsidR="00CC34DC" w:rsidRPr="00821D89" w:rsidTr="006965BF">
        <w:trPr>
          <w:trHeight w:val="300"/>
          <w:jc w:val="center"/>
        </w:trPr>
        <w:tc>
          <w:tcPr>
            <w:tcW w:w="2860" w:type="dxa"/>
            <w:noWrap/>
          </w:tcPr>
          <w:p w:rsidR="00CC34DC" w:rsidRPr="00CC34DC" w:rsidRDefault="00CC34DC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CC34DC">
              <w:rPr>
                <w:rFonts w:ascii="Calibri" w:hAnsi="Calibri" w:cs="Calibri"/>
                <w:lang w:val="fr-FR" w:eastAsia="fr-FR"/>
              </w:rPr>
              <w:t xml:space="preserve">Maik </w:t>
            </w:r>
            <w:proofErr w:type="spellStart"/>
            <w:r w:rsidRPr="00CC34DC">
              <w:rPr>
                <w:rFonts w:ascii="Calibri" w:hAnsi="Calibri" w:cs="Calibri"/>
                <w:lang w:val="fr-FR" w:eastAsia="fr-FR"/>
              </w:rPr>
              <w:t>Stuke</w:t>
            </w:r>
            <w:proofErr w:type="spellEnd"/>
          </w:p>
        </w:tc>
        <w:tc>
          <w:tcPr>
            <w:tcW w:w="3260" w:type="dxa"/>
            <w:noWrap/>
          </w:tcPr>
          <w:p w:rsidR="00CC34DC" w:rsidRPr="00CC34DC" w:rsidRDefault="00CC34DC" w:rsidP="00821D89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Calibri" w:hAnsi="Calibri" w:cs="Calibri"/>
                <w:lang w:val="fr-FR" w:eastAsia="fr-FR"/>
              </w:rPr>
            </w:pPr>
            <w:r w:rsidRPr="00CC34DC">
              <w:rPr>
                <w:rFonts w:ascii="Calibri" w:hAnsi="Calibri" w:cs="Calibri"/>
                <w:lang w:val="fr-FR" w:eastAsia="fr-FR"/>
              </w:rPr>
              <w:t>maik.stuke@grs.de</w:t>
            </w:r>
          </w:p>
        </w:tc>
      </w:tr>
    </w:tbl>
    <w:p w:rsidR="00821D89" w:rsidRPr="00821D89" w:rsidRDefault="00821D89" w:rsidP="00EB0851">
      <w:pPr>
        <w:jc w:val="center"/>
        <w:rPr>
          <w:b/>
          <w:lang w:val="fr-FR"/>
        </w:rPr>
      </w:pPr>
    </w:p>
    <w:sectPr w:rsidR="00821D89" w:rsidRPr="00821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3FE"/>
    <w:multiLevelType w:val="hybridMultilevel"/>
    <w:tmpl w:val="AD308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ABE"/>
    <w:multiLevelType w:val="hybridMultilevel"/>
    <w:tmpl w:val="3AFE9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0041"/>
    <w:multiLevelType w:val="hybridMultilevel"/>
    <w:tmpl w:val="C99E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685E"/>
    <w:multiLevelType w:val="hybridMultilevel"/>
    <w:tmpl w:val="7A9E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24EE"/>
    <w:multiLevelType w:val="multilevel"/>
    <w:tmpl w:val="D66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D63CC"/>
    <w:multiLevelType w:val="hybridMultilevel"/>
    <w:tmpl w:val="BBDA2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A62F2"/>
    <w:multiLevelType w:val="multilevel"/>
    <w:tmpl w:val="337C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7">
    <w:nsid w:val="3E8C43FC"/>
    <w:multiLevelType w:val="multilevel"/>
    <w:tmpl w:val="A40282C0"/>
    <w:lvl w:ilvl="0">
      <w:start w:val="1"/>
      <w:numFmt w:val="decimal"/>
      <w:lvlText w:val="%1."/>
      <w:lvlJc w:val="left"/>
      <w:pPr>
        <w:ind w:left="76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757"/>
        </w:tabs>
        <w:ind w:left="175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74"/>
        </w:tabs>
        <w:ind w:left="207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51"/>
        </w:tabs>
        <w:ind w:left="275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068"/>
        </w:tabs>
        <w:ind w:left="306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45"/>
        </w:tabs>
        <w:ind w:left="3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062"/>
        </w:tabs>
        <w:ind w:left="40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79"/>
        </w:tabs>
        <w:ind w:left="4379" w:hanging="1440"/>
      </w:pPr>
    </w:lvl>
  </w:abstractNum>
  <w:abstractNum w:abstractNumId="8">
    <w:nsid w:val="4A6844EC"/>
    <w:multiLevelType w:val="hybridMultilevel"/>
    <w:tmpl w:val="8E863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6677B"/>
    <w:multiLevelType w:val="multilevel"/>
    <w:tmpl w:val="5FA00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0">
    <w:nsid w:val="5914262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874093"/>
    <w:multiLevelType w:val="hybridMultilevel"/>
    <w:tmpl w:val="EC1C78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F17B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3">
    <w:nsid w:val="674A4E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9C6491"/>
    <w:multiLevelType w:val="multilevel"/>
    <w:tmpl w:val="AFCCA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71A75705"/>
    <w:multiLevelType w:val="hybridMultilevel"/>
    <w:tmpl w:val="0DA25D2C"/>
    <w:lvl w:ilvl="0" w:tplc="765E6D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D20DFC"/>
    <w:multiLevelType w:val="multilevel"/>
    <w:tmpl w:val="BF967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843900"/>
    <w:multiLevelType w:val="multilevel"/>
    <w:tmpl w:val="04E625C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090241"/>
    <w:multiLevelType w:val="multilevel"/>
    <w:tmpl w:val="2CF66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ECA640C"/>
    <w:multiLevelType w:val="hybridMultilevel"/>
    <w:tmpl w:val="F5125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9E"/>
    <w:rsid w:val="00011C14"/>
    <w:rsid w:val="00044043"/>
    <w:rsid w:val="0006065A"/>
    <w:rsid w:val="00076923"/>
    <w:rsid w:val="000A5933"/>
    <w:rsid w:val="000D4757"/>
    <w:rsid w:val="00175CBD"/>
    <w:rsid w:val="001C42CD"/>
    <w:rsid w:val="0020239E"/>
    <w:rsid w:val="00236749"/>
    <w:rsid w:val="0024419F"/>
    <w:rsid w:val="00262FE2"/>
    <w:rsid w:val="002D66BD"/>
    <w:rsid w:val="00322D85"/>
    <w:rsid w:val="003269A6"/>
    <w:rsid w:val="003C2D08"/>
    <w:rsid w:val="004F173C"/>
    <w:rsid w:val="00500BFA"/>
    <w:rsid w:val="005A68B6"/>
    <w:rsid w:val="005F246B"/>
    <w:rsid w:val="0065411B"/>
    <w:rsid w:val="00664A4A"/>
    <w:rsid w:val="006965BF"/>
    <w:rsid w:val="006C22D5"/>
    <w:rsid w:val="006D3037"/>
    <w:rsid w:val="006F2691"/>
    <w:rsid w:val="00725D07"/>
    <w:rsid w:val="0079725C"/>
    <w:rsid w:val="007A0AC5"/>
    <w:rsid w:val="007C4D23"/>
    <w:rsid w:val="00821D89"/>
    <w:rsid w:val="00875DE6"/>
    <w:rsid w:val="00895269"/>
    <w:rsid w:val="008D401F"/>
    <w:rsid w:val="0090395F"/>
    <w:rsid w:val="00935F1D"/>
    <w:rsid w:val="009C3C04"/>
    <w:rsid w:val="00A0444F"/>
    <w:rsid w:val="00A609F0"/>
    <w:rsid w:val="00A67AEC"/>
    <w:rsid w:val="00B37822"/>
    <w:rsid w:val="00C127F4"/>
    <w:rsid w:val="00C35CA2"/>
    <w:rsid w:val="00C77A2E"/>
    <w:rsid w:val="00CA125A"/>
    <w:rsid w:val="00CA6E67"/>
    <w:rsid w:val="00CC34DC"/>
    <w:rsid w:val="00DA780F"/>
    <w:rsid w:val="00DB6830"/>
    <w:rsid w:val="00EB0851"/>
    <w:rsid w:val="00EE64EB"/>
    <w:rsid w:val="00F43E1C"/>
    <w:rsid w:val="00F777C1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9E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0239E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0239E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39E"/>
    <w:rPr>
      <w:rFonts w:ascii="Times New Roman" w:eastAsia="Times New Roman" w:hAnsi="Times New Roman" w:cs="Times New Roman"/>
      <w:b/>
      <w:bCs/>
      <w:caps/>
      <w:kern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0239E"/>
    <w:rPr>
      <w:rFonts w:ascii="Times New Roman" w:eastAsia="Times New Roman" w:hAnsi="Times New Roman" w:cs="Times New Roman"/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A609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A6"/>
    <w:pPr>
      <w:ind w:left="720"/>
      <w:contextualSpacing/>
    </w:pPr>
  </w:style>
  <w:style w:type="table" w:styleId="TableGrid">
    <w:name w:val="Table Grid"/>
    <w:basedOn w:val="TableNormal"/>
    <w:uiPriority w:val="59"/>
    <w:rsid w:val="00EB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B08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236749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F777C1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</w:pPr>
    <w:rPr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12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9E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0239E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0239E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39E"/>
    <w:rPr>
      <w:rFonts w:ascii="Times New Roman" w:eastAsia="Times New Roman" w:hAnsi="Times New Roman" w:cs="Times New Roman"/>
      <w:b/>
      <w:bCs/>
      <w:caps/>
      <w:kern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0239E"/>
    <w:rPr>
      <w:rFonts w:ascii="Times New Roman" w:eastAsia="Times New Roman" w:hAnsi="Times New Roman" w:cs="Times New Roman"/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A609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A6"/>
    <w:pPr>
      <w:ind w:left="720"/>
      <w:contextualSpacing/>
    </w:pPr>
  </w:style>
  <w:style w:type="table" w:styleId="TableGrid">
    <w:name w:val="Table Grid"/>
    <w:basedOn w:val="TableNormal"/>
    <w:uiPriority w:val="59"/>
    <w:rsid w:val="00EB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B08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236749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F777C1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</w:pPr>
    <w:rPr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12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nea.org/science/wpncs/amct/workingarea/meeting2013/EGAMCT2013_01.pdf" TargetMode="External"/><Relationship Id="rId13" Type="http://schemas.openxmlformats.org/officeDocument/2006/relationships/hyperlink" Target="http://www.oecd-nea.org/science/wpncs/amct/workingarea/meeting2013/EGAMCT2013_06.pdf" TargetMode="External"/><Relationship Id="rId18" Type="http://schemas.openxmlformats.org/officeDocument/2006/relationships/hyperlink" Target="mailto:franco.michel-sendis@oec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ecd-nea.org/science/wpncs/amct/workingarea/meeting2012/EGAMCT2012_SR.docx" TargetMode="External"/><Relationship Id="rId12" Type="http://schemas.openxmlformats.org/officeDocument/2006/relationships/hyperlink" Target="https://www.oecd-nea.org/science/wpncs/amct/workingarea/meeting2013/EGAMCT2013_04.pdf" TargetMode="External"/><Relationship Id="rId17" Type="http://schemas.openxmlformats.org/officeDocument/2006/relationships/hyperlink" Target="mailto:ian.hill@oec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ecd-nea.org/science/wpncs/amct/workingarea/meeting2013/EGAMCT2013_1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ecd-nea.org/science/wpncs/amct" TargetMode="External"/><Relationship Id="rId11" Type="http://schemas.openxmlformats.org/officeDocument/2006/relationships/hyperlink" Target="http://www.oecd-nea.org/science/wpncs/amct/workingarea/meeting2013/EGAMCT2013_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ecd-nea.org/science/wpncs/amct/workingarea/meeting2013/EGAMCT2013_07.pdf" TargetMode="External"/><Relationship Id="rId10" Type="http://schemas.openxmlformats.org/officeDocument/2006/relationships/hyperlink" Target="https://www.oecd-nea.org/science/wpncs/amct/workingarea/meeting2013/EGAMCT2013_0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ecd-nea.org/science/wpncs/amct/workingarea/meeting2013/EGAMCT2013_02.pdf" TargetMode="External"/><Relationship Id="rId14" Type="http://schemas.openxmlformats.org/officeDocument/2006/relationships/hyperlink" Target="https://www.oecd-nea.org/science/wpncs/amct/workingarea/meeting2013/EGAMCT2013_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MICHEL-SENDIS Franco, NEA/DB</dc:creator>
  <cp:lastModifiedBy>MICHEL-SENDIS Franco, NEA/DB</cp:lastModifiedBy>
  <cp:revision>2</cp:revision>
  <cp:lastPrinted>2014-08-07T09:53:00Z</cp:lastPrinted>
  <dcterms:created xsi:type="dcterms:W3CDTF">2014-08-07T13:15:00Z</dcterms:created>
  <dcterms:modified xsi:type="dcterms:W3CDTF">2014-08-07T13:15:00Z</dcterms:modified>
</cp:coreProperties>
</file>