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52" w:rsidRPr="001F48C0" w:rsidRDefault="00C43052" w:rsidP="00C43052">
      <w:pPr>
        <w:pStyle w:val="BodyText"/>
        <w:spacing w:after="0"/>
        <w:jc w:val="center"/>
        <w:rPr>
          <w:b/>
        </w:rPr>
      </w:pPr>
      <w:bookmarkStart w:id="0" w:name="_GoBack"/>
      <w:r w:rsidRPr="001F48C0">
        <w:rPr>
          <w:b/>
        </w:rPr>
        <w:t>Mandate of the Expert Group on Advanced Fuel Cycle Scenarios (AFCS)</w:t>
      </w:r>
      <w:bookmarkEnd w:id="0"/>
    </w:p>
    <w:p w:rsidR="00C43052" w:rsidRPr="001F48C0" w:rsidRDefault="00C43052" w:rsidP="00C43052">
      <w:pPr>
        <w:pStyle w:val="BodyText"/>
        <w:spacing w:after="0"/>
        <w:jc w:val="center"/>
        <w:rPr>
          <w:b/>
        </w:rPr>
      </w:pPr>
    </w:p>
    <w:p w:rsidR="00C43052" w:rsidRPr="001F48C0" w:rsidRDefault="00C43052" w:rsidP="00C43052">
      <w:pPr>
        <w:pStyle w:val="BodyText"/>
        <w:spacing w:after="0"/>
        <w:jc w:val="center"/>
        <w:rPr>
          <w:b/>
        </w:rPr>
      </w:pPr>
    </w:p>
    <w:p w:rsidR="00C43052" w:rsidRPr="001F48C0" w:rsidRDefault="00C43052" w:rsidP="00C43052">
      <w:pPr>
        <w:pStyle w:val="Default"/>
        <w:rPr>
          <w:sz w:val="22"/>
          <w:szCs w:val="22"/>
          <w:lang w:val="en-US"/>
        </w:rPr>
      </w:pPr>
    </w:p>
    <w:p w:rsidR="00C43052" w:rsidRPr="001F48C0" w:rsidRDefault="00C43052" w:rsidP="00C43052">
      <w:pPr>
        <w:pStyle w:val="Default"/>
        <w:rPr>
          <w:b/>
          <w:bCs/>
          <w:sz w:val="22"/>
          <w:szCs w:val="22"/>
          <w:lang w:val="en-US"/>
        </w:rPr>
      </w:pPr>
    </w:p>
    <w:p w:rsidR="00C43052" w:rsidRPr="001F48C0" w:rsidRDefault="00C43052" w:rsidP="00C43052">
      <w:pPr>
        <w:pStyle w:val="Default"/>
        <w:rPr>
          <w:rFonts w:asciiTheme="minorHAnsi" w:hAnsiTheme="minorHAnsi" w:cstheme="minorHAnsi"/>
          <w:b/>
          <w:bCs/>
          <w:sz w:val="22"/>
          <w:szCs w:val="22"/>
          <w:lang w:val="en-US"/>
        </w:rPr>
      </w:pPr>
    </w:p>
    <w:p w:rsidR="00C43052" w:rsidRPr="001F48C0" w:rsidRDefault="00C43052" w:rsidP="00C43052">
      <w:pPr>
        <w:pStyle w:val="Default"/>
        <w:rPr>
          <w:rFonts w:asciiTheme="minorHAnsi" w:hAnsiTheme="minorHAnsi" w:cstheme="minorHAnsi"/>
          <w:sz w:val="22"/>
          <w:szCs w:val="22"/>
          <w:lang w:val="en-US"/>
        </w:rPr>
      </w:pPr>
      <w:r w:rsidRPr="001F48C0">
        <w:rPr>
          <w:rFonts w:asciiTheme="minorHAnsi" w:hAnsiTheme="minorHAnsi" w:cstheme="minorHAnsi"/>
          <w:b/>
          <w:bCs/>
          <w:sz w:val="22"/>
          <w:szCs w:val="22"/>
          <w:lang w:val="en-US"/>
        </w:rPr>
        <w:t>Chair</w:t>
      </w:r>
      <w:r w:rsidRPr="001F48C0">
        <w:rPr>
          <w:rFonts w:asciiTheme="minorHAnsi" w:hAnsiTheme="minorHAnsi" w:cstheme="minorHAnsi"/>
          <w:sz w:val="22"/>
          <w:szCs w:val="22"/>
          <w:lang w:val="en-US"/>
        </w:rPr>
        <w:t>:</w:t>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t>Brent Dixon, USA</w:t>
      </w:r>
    </w:p>
    <w:p w:rsidR="00C43052" w:rsidRPr="001F48C0" w:rsidRDefault="00C43052" w:rsidP="00C43052">
      <w:pPr>
        <w:pStyle w:val="Default"/>
        <w:rPr>
          <w:rFonts w:asciiTheme="minorHAnsi" w:hAnsiTheme="minorHAnsi" w:cstheme="minorHAnsi"/>
          <w:sz w:val="22"/>
          <w:szCs w:val="22"/>
          <w:lang w:val="en-US"/>
        </w:rPr>
      </w:pPr>
    </w:p>
    <w:p w:rsidR="00C43052" w:rsidRPr="001F48C0" w:rsidRDefault="00C43052" w:rsidP="00C43052">
      <w:pPr>
        <w:pStyle w:val="Default"/>
        <w:rPr>
          <w:rFonts w:asciiTheme="minorHAnsi" w:hAnsiTheme="minorHAnsi" w:cstheme="minorHAnsi"/>
          <w:sz w:val="22"/>
          <w:szCs w:val="22"/>
          <w:lang w:val="en-US"/>
        </w:rPr>
      </w:pPr>
      <w:r w:rsidRPr="001F48C0">
        <w:rPr>
          <w:rFonts w:asciiTheme="minorHAnsi" w:hAnsiTheme="minorHAnsi" w:cstheme="minorHAnsi"/>
          <w:b/>
          <w:bCs/>
          <w:sz w:val="22"/>
          <w:szCs w:val="22"/>
          <w:lang w:val="en-US"/>
        </w:rPr>
        <w:t>Members</w:t>
      </w:r>
      <w:r w:rsidRPr="001F48C0">
        <w:rPr>
          <w:rFonts w:asciiTheme="minorHAnsi" w:hAnsiTheme="minorHAnsi" w:cstheme="minorHAnsi"/>
          <w:sz w:val="22"/>
          <w:szCs w:val="22"/>
          <w:lang w:val="en-US"/>
        </w:rPr>
        <w:t>:</w:t>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r>
      <w:r w:rsidRPr="001F48C0">
        <w:rPr>
          <w:rFonts w:asciiTheme="minorHAnsi" w:hAnsiTheme="minorHAnsi" w:cstheme="minorHAnsi"/>
          <w:sz w:val="22"/>
          <w:szCs w:val="22"/>
          <w:lang w:val="en-US"/>
        </w:rPr>
        <w:tab/>
        <w:t>All NEA Member countries</w:t>
      </w:r>
    </w:p>
    <w:p w:rsidR="00C43052" w:rsidRPr="001F48C0" w:rsidRDefault="00C43052" w:rsidP="00C43052">
      <w:pPr>
        <w:pStyle w:val="Default"/>
        <w:rPr>
          <w:rFonts w:asciiTheme="minorHAnsi" w:hAnsiTheme="minorHAnsi" w:cstheme="minorHAnsi"/>
          <w:sz w:val="22"/>
          <w:szCs w:val="22"/>
          <w:lang w:val="en-US"/>
        </w:rPr>
      </w:pPr>
    </w:p>
    <w:p w:rsidR="00C43052" w:rsidRPr="001F48C0" w:rsidRDefault="00C43052" w:rsidP="00C43052">
      <w:pPr>
        <w:pStyle w:val="Default"/>
        <w:rPr>
          <w:rFonts w:asciiTheme="minorHAnsi" w:hAnsiTheme="minorHAnsi" w:cstheme="minorHAnsi"/>
          <w:sz w:val="22"/>
          <w:szCs w:val="22"/>
          <w:lang w:val="en-US"/>
        </w:rPr>
      </w:pPr>
      <w:r w:rsidRPr="001F48C0">
        <w:rPr>
          <w:rFonts w:asciiTheme="minorHAnsi" w:hAnsiTheme="minorHAnsi" w:cstheme="minorHAnsi"/>
          <w:b/>
          <w:bCs/>
          <w:sz w:val="22"/>
          <w:szCs w:val="22"/>
          <w:lang w:val="en-US"/>
        </w:rPr>
        <w:t>Regular Observers (Non-Members):</w:t>
      </w:r>
      <w:r w:rsidRPr="001F48C0">
        <w:rPr>
          <w:rFonts w:asciiTheme="minorHAnsi" w:hAnsiTheme="minorHAnsi" w:cstheme="minorHAnsi"/>
          <w:b/>
          <w:bCs/>
          <w:sz w:val="22"/>
          <w:szCs w:val="22"/>
          <w:lang w:val="en-US"/>
        </w:rPr>
        <w:tab/>
      </w:r>
      <w:r w:rsidRPr="001F48C0">
        <w:rPr>
          <w:rFonts w:asciiTheme="minorHAnsi" w:hAnsiTheme="minorHAnsi" w:cstheme="minorHAnsi"/>
          <w:b/>
          <w:bCs/>
          <w:sz w:val="22"/>
          <w:szCs w:val="22"/>
          <w:lang w:val="en-US"/>
        </w:rPr>
        <w:tab/>
      </w:r>
      <w:r w:rsidRPr="001F48C0">
        <w:rPr>
          <w:rFonts w:asciiTheme="minorHAnsi" w:hAnsiTheme="minorHAnsi" w:cstheme="minorHAnsi"/>
          <w:sz w:val="22"/>
          <w:szCs w:val="22"/>
          <w:lang w:val="en-US"/>
        </w:rPr>
        <w:t>European Commission</w:t>
      </w:r>
    </w:p>
    <w:p w:rsidR="00C43052" w:rsidRPr="001F48C0" w:rsidRDefault="00C43052" w:rsidP="00C43052">
      <w:pPr>
        <w:pStyle w:val="Default"/>
        <w:rPr>
          <w:rFonts w:asciiTheme="minorHAnsi" w:hAnsiTheme="minorHAnsi" w:cstheme="minorHAnsi"/>
          <w:sz w:val="22"/>
          <w:szCs w:val="22"/>
          <w:lang w:val="en-US"/>
        </w:rPr>
      </w:pPr>
    </w:p>
    <w:p w:rsidR="00C43052" w:rsidRPr="001F48C0" w:rsidRDefault="00C43052" w:rsidP="00C43052">
      <w:pPr>
        <w:pStyle w:val="Default"/>
        <w:rPr>
          <w:rFonts w:asciiTheme="minorHAnsi" w:hAnsiTheme="minorHAnsi" w:cstheme="minorHAnsi"/>
          <w:sz w:val="22"/>
          <w:szCs w:val="22"/>
          <w:lang w:val="en-US"/>
        </w:rPr>
      </w:pPr>
      <w:r w:rsidRPr="001F48C0">
        <w:rPr>
          <w:rFonts w:asciiTheme="minorHAnsi" w:hAnsiTheme="minorHAnsi" w:cstheme="minorHAnsi"/>
          <w:b/>
          <w:bCs/>
          <w:sz w:val="22"/>
          <w:szCs w:val="22"/>
          <w:lang w:val="en-US"/>
        </w:rPr>
        <w:t xml:space="preserve">Observer (International </w:t>
      </w:r>
      <w:proofErr w:type="spellStart"/>
      <w:r w:rsidRPr="001F48C0">
        <w:rPr>
          <w:rFonts w:asciiTheme="minorHAnsi" w:hAnsiTheme="minorHAnsi" w:cstheme="minorHAnsi"/>
          <w:b/>
          <w:bCs/>
          <w:sz w:val="22"/>
          <w:szCs w:val="22"/>
          <w:lang w:val="en-US"/>
        </w:rPr>
        <w:t>Organisation</w:t>
      </w:r>
      <w:proofErr w:type="spellEnd"/>
      <w:r w:rsidRPr="001F48C0">
        <w:rPr>
          <w:rFonts w:asciiTheme="minorHAnsi" w:hAnsiTheme="minorHAnsi" w:cstheme="minorHAnsi"/>
          <w:b/>
          <w:bCs/>
          <w:sz w:val="22"/>
          <w:szCs w:val="22"/>
          <w:lang w:val="en-US"/>
        </w:rPr>
        <w:t xml:space="preserve">): </w:t>
      </w:r>
      <w:r w:rsidRPr="001F48C0">
        <w:rPr>
          <w:rFonts w:asciiTheme="minorHAnsi" w:hAnsiTheme="minorHAnsi" w:cstheme="minorHAnsi"/>
          <w:b/>
          <w:bCs/>
          <w:sz w:val="22"/>
          <w:szCs w:val="22"/>
          <w:lang w:val="en-US"/>
        </w:rPr>
        <w:tab/>
      </w:r>
      <w:r w:rsidRPr="001F48C0">
        <w:rPr>
          <w:rFonts w:asciiTheme="minorHAnsi" w:hAnsiTheme="minorHAnsi" w:cstheme="minorHAnsi"/>
          <w:sz w:val="22"/>
          <w:szCs w:val="22"/>
          <w:lang w:val="en-US"/>
        </w:rPr>
        <w:t>International Atomic Energy Agency (IAEA) (</w:t>
      </w:r>
      <w:r w:rsidRPr="001F48C0">
        <w:rPr>
          <w:rFonts w:asciiTheme="minorHAnsi" w:hAnsiTheme="minorHAnsi" w:cstheme="minorHAnsi"/>
          <w:i/>
          <w:iCs/>
          <w:sz w:val="22"/>
          <w:szCs w:val="22"/>
          <w:lang w:val="en-US"/>
        </w:rPr>
        <w:t>By agreement</w:t>
      </w:r>
      <w:r w:rsidRPr="001F48C0">
        <w:rPr>
          <w:rFonts w:asciiTheme="minorHAnsi" w:hAnsiTheme="minorHAnsi" w:cstheme="minorHAnsi"/>
          <w:sz w:val="22"/>
          <w:szCs w:val="22"/>
          <w:lang w:val="en-US"/>
        </w:rPr>
        <w:t xml:space="preserve">) </w:t>
      </w:r>
    </w:p>
    <w:p w:rsidR="00C43052" w:rsidRPr="001F48C0" w:rsidRDefault="00C43052" w:rsidP="00C43052">
      <w:pPr>
        <w:pStyle w:val="Default"/>
        <w:rPr>
          <w:rFonts w:asciiTheme="minorHAnsi" w:hAnsiTheme="minorHAnsi" w:cstheme="minorHAnsi"/>
          <w:sz w:val="22"/>
          <w:szCs w:val="22"/>
          <w:lang w:val="en-US"/>
        </w:rPr>
      </w:pPr>
    </w:p>
    <w:p w:rsidR="00C43052" w:rsidRPr="001F48C0" w:rsidRDefault="00C43052" w:rsidP="00C43052">
      <w:pPr>
        <w:pStyle w:val="Default"/>
        <w:rPr>
          <w:rFonts w:asciiTheme="minorHAnsi" w:hAnsiTheme="minorHAnsi" w:cstheme="minorHAnsi"/>
          <w:sz w:val="22"/>
          <w:szCs w:val="22"/>
          <w:lang w:val="en-US"/>
        </w:rPr>
      </w:pPr>
      <w:r w:rsidRPr="001F48C0">
        <w:rPr>
          <w:rFonts w:asciiTheme="minorHAnsi" w:hAnsiTheme="minorHAnsi" w:cstheme="minorHAnsi"/>
          <w:b/>
          <w:bCs/>
          <w:sz w:val="22"/>
          <w:szCs w:val="22"/>
          <w:lang w:val="en-US"/>
        </w:rPr>
        <w:t xml:space="preserve">Date of creation: </w:t>
      </w:r>
      <w:r w:rsidRPr="001F48C0">
        <w:rPr>
          <w:rFonts w:asciiTheme="minorHAnsi" w:hAnsiTheme="minorHAnsi" w:cstheme="minorHAnsi"/>
          <w:b/>
          <w:bCs/>
          <w:sz w:val="22"/>
          <w:szCs w:val="22"/>
          <w:lang w:val="en-US"/>
        </w:rPr>
        <w:tab/>
      </w:r>
      <w:r w:rsidRPr="001F48C0">
        <w:rPr>
          <w:rFonts w:asciiTheme="minorHAnsi" w:hAnsiTheme="minorHAnsi" w:cstheme="minorHAnsi"/>
          <w:b/>
          <w:bCs/>
          <w:sz w:val="22"/>
          <w:szCs w:val="22"/>
          <w:lang w:val="en-US"/>
        </w:rPr>
        <w:tab/>
      </w:r>
      <w:r>
        <w:rPr>
          <w:rFonts w:asciiTheme="minorHAnsi" w:hAnsiTheme="minorHAnsi" w:cstheme="minorHAnsi"/>
          <w:b/>
          <w:bCs/>
          <w:sz w:val="22"/>
          <w:szCs w:val="22"/>
          <w:lang w:val="en-US"/>
        </w:rPr>
        <w:tab/>
      </w:r>
      <w:r>
        <w:rPr>
          <w:rFonts w:asciiTheme="minorHAnsi" w:hAnsiTheme="minorHAnsi" w:cstheme="minorHAnsi"/>
          <w:b/>
          <w:bCs/>
          <w:sz w:val="22"/>
          <w:szCs w:val="22"/>
          <w:lang w:val="en-US"/>
        </w:rPr>
        <w:tab/>
      </w:r>
      <w:r>
        <w:rPr>
          <w:rFonts w:asciiTheme="minorHAnsi" w:hAnsiTheme="minorHAnsi" w:cstheme="minorHAnsi"/>
          <w:b/>
          <w:bCs/>
          <w:sz w:val="22"/>
          <w:szCs w:val="22"/>
          <w:lang w:val="en-US"/>
        </w:rPr>
        <w:tab/>
      </w:r>
      <w:r>
        <w:rPr>
          <w:rFonts w:asciiTheme="minorHAnsi" w:hAnsiTheme="minorHAnsi" w:cstheme="minorHAnsi"/>
          <w:b/>
          <w:bCs/>
          <w:sz w:val="22"/>
          <w:szCs w:val="22"/>
          <w:lang w:val="en-US"/>
        </w:rPr>
        <w:tab/>
      </w:r>
      <w:r w:rsidRPr="001F48C0">
        <w:rPr>
          <w:rFonts w:asciiTheme="minorHAnsi" w:hAnsiTheme="minorHAnsi" w:cstheme="minorHAnsi"/>
          <w:sz w:val="22"/>
          <w:szCs w:val="22"/>
          <w:lang w:val="en-US"/>
        </w:rPr>
        <w:t>30 June 2010</w:t>
      </w:r>
    </w:p>
    <w:p w:rsidR="00C43052" w:rsidRPr="001F48C0" w:rsidRDefault="00C43052" w:rsidP="00C43052">
      <w:pPr>
        <w:pStyle w:val="Default"/>
        <w:rPr>
          <w:rFonts w:asciiTheme="minorHAnsi" w:hAnsiTheme="minorHAnsi" w:cstheme="minorHAnsi"/>
          <w:sz w:val="22"/>
          <w:szCs w:val="22"/>
          <w:lang w:val="en-US"/>
        </w:rPr>
      </w:pPr>
    </w:p>
    <w:p w:rsidR="00C43052" w:rsidRPr="001F48C0" w:rsidRDefault="00C43052" w:rsidP="00C43052">
      <w:pPr>
        <w:pStyle w:val="Default"/>
        <w:rPr>
          <w:rFonts w:asciiTheme="minorHAnsi" w:hAnsiTheme="minorHAnsi" w:cstheme="minorHAnsi"/>
          <w:sz w:val="22"/>
          <w:szCs w:val="22"/>
          <w:lang w:val="en-US"/>
        </w:rPr>
      </w:pPr>
      <w:r w:rsidRPr="001F48C0">
        <w:rPr>
          <w:rFonts w:asciiTheme="minorHAnsi" w:hAnsiTheme="minorHAnsi" w:cstheme="minorHAnsi"/>
          <w:b/>
          <w:bCs/>
          <w:sz w:val="22"/>
          <w:szCs w:val="22"/>
          <w:lang w:val="en-US"/>
        </w:rPr>
        <w:t xml:space="preserve">Date of expiration: </w:t>
      </w:r>
      <w:r w:rsidRPr="001F48C0">
        <w:rPr>
          <w:rFonts w:asciiTheme="minorHAnsi" w:hAnsiTheme="minorHAnsi" w:cstheme="minorHAnsi"/>
          <w:b/>
          <w:bCs/>
          <w:sz w:val="22"/>
          <w:szCs w:val="22"/>
          <w:lang w:val="en-US"/>
        </w:rPr>
        <w:tab/>
      </w:r>
      <w:r w:rsidRPr="001F48C0">
        <w:rPr>
          <w:rFonts w:asciiTheme="minorHAnsi" w:hAnsiTheme="minorHAnsi" w:cstheme="minorHAnsi"/>
          <w:b/>
          <w:bCs/>
          <w:sz w:val="22"/>
          <w:szCs w:val="22"/>
          <w:lang w:val="en-US"/>
        </w:rPr>
        <w:tab/>
      </w:r>
      <w:r>
        <w:rPr>
          <w:rFonts w:asciiTheme="minorHAnsi" w:hAnsiTheme="minorHAnsi" w:cstheme="minorHAnsi"/>
          <w:b/>
          <w:bCs/>
          <w:sz w:val="22"/>
          <w:szCs w:val="22"/>
          <w:lang w:val="en-US"/>
        </w:rPr>
        <w:tab/>
      </w:r>
      <w:r>
        <w:rPr>
          <w:rFonts w:asciiTheme="minorHAnsi" w:hAnsiTheme="minorHAnsi" w:cstheme="minorHAnsi"/>
          <w:b/>
          <w:bCs/>
          <w:sz w:val="22"/>
          <w:szCs w:val="22"/>
          <w:lang w:val="en-US"/>
        </w:rPr>
        <w:tab/>
      </w:r>
      <w:r>
        <w:rPr>
          <w:rFonts w:asciiTheme="minorHAnsi" w:hAnsiTheme="minorHAnsi" w:cstheme="minorHAnsi"/>
          <w:b/>
          <w:bCs/>
          <w:sz w:val="22"/>
          <w:szCs w:val="22"/>
          <w:lang w:val="en-US"/>
        </w:rPr>
        <w:tab/>
      </w:r>
      <w:r w:rsidRPr="001F48C0">
        <w:rPr>
          <w:rFonts w:asciiTheme="minorHAnsi" w:hAnsiTheme="minorHAnsi" w:cstheme="minorHAnsi"/>
          <w:b/>
          <w:bCs/>
          <w:sz w:val="22"/>
          <w:szCs w:val="22"/>
          <w:lang w:val="en-US"/>
        </w:rPr>
        <w:tab/>
      </w:r>
      <w:r w:rsidRPr="001F48C0">
        <w:rPr>
          <w:rFonts w:asciiTheme="minorHAnsi" w:hAnsiTheme="minorHAnsi" w:cstheme="minorHAnsi"/>
          <w:sz w:val="22"/>
          <w:szCs w:val="22"/>
          <w:lang w:val="en-US"/>
        </w:rPr>
        <w:t>30 June 2016</w:t>
      </w:r>
    </w:p>
    <w:p w:rsidR="00C43052" w:rsidRPr="001F48C0" w:rsidRDefault="00C43052" w:rsidP="00C43052">
      <w:pPr>
        <w:pStyle w:val="Default"/>
        <w:rPr>
          <w:rFonts w:asciiTheme="minorHAnsi" w:hAnsiTheme="minorHAnsi" w:cstheme="minorHAnsi"/>
          <w:sz w:val="22"/>
          <w:szCs w:val="22"/>
          <w:lang w:val="en-US"/>
        </w:rPr>
      </w:pPr>
    </w:p>
    <w:p w:rsidR="00C43052" w:rsidRDefault="00C43052" w:rsidP="00C43052">
      <w:pPr>
        <w:pStyle w:val="Default"/>
        <w:ind w:left="709" w:hanging="709"/>
        <w:rPr>
          <w:rFonts w:asciiTheme="minorHAnsi" w:hAnsiTheme="minorHAnsi" w:cstheme="minorHAnsi"/>
          <w:sz w:val="22"/>
          <w:szCs w:val="22"/>
          <w:lang w:val="en-US"/>
        </w:rPr>
      </w:pPr>
      <w:r w:rsidRPr="001F48C0">
        <w:rPr>
          <w:rFonts w:asciiTheme="minorHAnsi" w:hAnsiTheme="minorHAnsi" w:cstheme="minorHAnsi"/>
          <w:b/>
          <w:bCs/>
          <w:sz w:val="22"/>
          <w:szCs w:val="22"/>
          <w:lang w:val="en-US"/>
        </w:rPr>
        <w:t xml:space="preserve">Mandate: </w:t>
      </w:r>
      <w:r w:rsidRPr="001F48C0">
        <w:rPr>
          <w:rFonts w:asciiTheme="minorHAnsi" w:hAnsiTheme="minorHAnsi" w:cstheme="minorHAnsi"/>
          <w:b/>
          <w:bCs/>
          <w:sz w:val="22"/>
          <w:szCs w:val="22"/>
          <w:lang w:val="en-US"/>
        </w:rPr>
        <w:tab/>
      </w:r>
      <w:r w:rsidRPr="001F48C0">
        <w:rPr>
          <w:rFonts w:asciiTheme="minorHAnsi" w:hAnsiTheme="minorHAnsi" w:cstheme="minorHAnsi"/>
          <w:sz w:val="22"/>
          <w:szCs w:val="22"/>
          <w:lang w:val="en-US"/>
        </w:rPr>
        <w:t>Approved at the 21</w:t>
      </w:r>
      <w:r w:rsidRPr="001F48C0">
        <w:rPr>
          <w:rFonts w:asciiTheme="minorHAnsi" w:hAnsiTheme="minorHAnsi" w:cstheme="minorHAnsi"/>
          <w:sz w:val="22"/>
          <w:szCs w:val="22"/>
          <w:vertAlign w:val="superscript"/>
          <w:lang w:val="en-US"/>
        </w:rPr>
        <w:t>st</w:t>
      </w:r>
      <w:r w:rsidRPr="001F48C0">
        <w:rPr>
          <w:rFonts w:asciiTheme="minorHAnsi" w:hAnsiTheme="minorHAnsi" w:cstheme="minorHAnsi"/>
          <w:sz w:val="22"/>
          <w:szCs w:val="22"/>
          <w:lang w:val="en-US"/>
        </w:rPr>
        <w:t xml:space="preserve"> meeting of the Nuclear Science Committee in June 2010</w:t>
      </w:r>
    </w:p>
    <w:p w:rsidR="00C43052" w:rsidRPr="00774F69" w:rsidRDefault="00C43052" w:rsidP="00C43052">
      <w:pPr>
        <w:pStyle w:val="Default"/>
        <w:ind w:left="709" w:firstLine="284"/>
        <w:rPr>
          <w:rFonts w:asciiTheme="minorHAnsi" w:hAnsiTheme="minorHAnsi" w:cstheme="minorHAnsi"/>
          <w:color w:val="auto"/>
          <w:sz w:val="22"/>
          <w:szCs w:val="22"/>
          <w:lang w:val="en-US"/>
        </w:rPr>
      </w:pPr>
      <w:r w:rsidRPr="00774F69">
        <w:rPr>
          <w:rFonts w:asciiTheme="minorHAnsi" w:hAnsiTheme="minorHAnsi" w:cstheme="minorHAnsi"/>
          <w:color w:val="auto"/>
          <w:sz w:val="22"/>
          <w:szCs w:val="22"/>
          <w:lang w:val="en-US"/>
        </w:rPr>
        <w:t>[</w:t>
      </w:r>
      <w:hyperlink r:id="rId6" w:history="1">
        <w:r w:rsidRPr="00774F69">
          <w:rPr>
            <w:rStyle w:val="Hyperlink"/>
            <w:rFonts w:asciiTheme="minorHAnsi" w:hAnsiTheme="minorHAnsi" w:cstheme="minorHAnsi"/>
            <w:color w:val="auto"/>
            <w:sz w:val="22"/>
            <w:szCs w:val="22"/>
            <w:lang w:val="en-US"/>
          </w:rPr>
          <w:t>NEA/SEN/</w:t>
        </w:r>
        <w:proofErr w:type="gramStart"/>
        <w:r w:rsidRPr="00774F69">
          <w:rPr>
            <w:rStyle w:val="Hyperlink"/>
            <w:rFonts w:asciiTheme="minorHAnsi" w:hAnsiTheme="minorHAnsi" w:cstheme="minorHAnsi"/>
            <w:color w:val="auto"/>
            <w:sz w:val="22"/>
            <w:szCs w:val="22"/>
            <w:lang w:val="en-US"/>
          </w:rPr>
          <w:t>NSC(</w:t>
        </w:r>
        <w:proofErr w:type="gramEnd"/>
        <w:r w:rsidRPr="00774F69">
          <w:rPr>
            <w:rStyle w:val="Hyperlink"/>
            <w:rFonts w:asciiTheme="minorHAnsi" w:hAnsiTheme="minorHAnsi" w:cstheme="minorHAnsi"/>
            <w:color w:val="auto"/>
            <w:sz w:val="22"/>
            <w:szCs w:val="22"/>
            <w:lang w:val="en-US"/>
          </w:rPr>
          <w:t>2010)3</w:t>
        </w:r>
      </w:hyperlink>
      <w:r w:rsidRPr="00774F69">
        <w:rPr>
          <w:rFonts w:asciiTheme="minorHAnsi" w:hAnsiTheme="minorHAnsi" w:cstheme="minorHAnsi"/>
          <w:color w:val="auto"/>
          <w:sz w:val="22"/>
          <w:szCs w:val="22"/>
          <w:lang w:val="en-US"/>
        </w:rPr>
        <w:t xml:space="preserve">] </w:t>
      </w:r>
    </w:p>
    <w:p w:rsidR="00C43052" w:rsidRPr="00774F69" w:rsidRDefault="00C43052" w:rsidP="00C43052">
      <w:pPr>
        <w:pStyle w:val="Default"/>
        <w:tabs>
          <w:tab w:val="left" w:pos="993"/>
        </w:tabs>
        <w:ind w:left="993"/>
        <w:rPr>
          <w:rFonts w:asciiTheme="minorHAnsi" w:hAnsiTheme="minorHAnsi" w:cstheme="minorHAnsi"/>
          <w:color w:val="auto"/>
          <w:sz w:val="22"/>
          <w:szCs w:val="22"/>
          <w:lang w:val="en-US"/>
        </w:rPr>
      </w:pPr>
      <w:r w:rsidRPr="00774F69">
        <w:rPr>
          <w:rFonts w:asciiTheme="minorHAnsi" w:hAnsiTheme="minorHAnsi" w:cstheme="minorHAnsi"/>
          <w:color w:val="auto"/>
          <w:sz w:val="22"/>
          <w:szCs w:val="22"/>
          <w:lang w:val="en-US"/>
        </w:rPr>
        <w:t>Extended at the 11</w:t>
      </w:r>
      <w:r w:rsidRPr="00774F69">
        <w:rPr>
          <w:rFonts w:asciiTheme="minorHAnsi" w:hAnsiTheme="minorHAnsi" w:cstheme="minorHAnsi"/>
          <w:color w:val="auto"/>
          <w:sz w:val="22"/>
          <w:szCs w:val="22"/>
          <w:vertAlign w:val="superscript"/>
          <w:lang w:val="en-US"/>
        </w:rPr>
        <w:t>th</w:t>
      </w:r>
      <w:r w:rsidRPr="00774F69">
        <w:rPr>
          <w:rFonts w:asciiTheme="minorHAnsi" w:hAnsiTheme="minorHAnsi" w:cstheme="minorHAnsi"/>
          <w:color w:val="auto"/>
          <w:sz w:val="22"/>
          <w:szCs w:val="22"/>
          <w:lang w:val="en-US"/>
        </w:rPr>
        <w:t xml:space="preserve"> Meeting of the Working Party on Scientific Issues of the Fuel Cycle in February 2013 [</w:t>
      </w:r>
      <w:hyperlink r:id="rId7" w:history="1">
        <w:r w:rsidRPr="00774F69">
          <w:rPr>
            <w:rStyle w:val="Hyperlink"/>
            <w:rFonts w:asciiTheme="minorHAnsi" w:hAnsiTheme="minorHAnsi" w:cstheme="minorHAnsi"/>
            <w:color w:val="auto"/>
            <w:sz w:val="22"/>
            <w:szCs w:val="22"/>
            <w:lang w:val="en-US"/>
          </w:rPr>
          <w:t>NEA/SEN/NSC/</w:t>
        </w:r>
        <w:proofErr w:type="gramStart"/>
        <w:r w:rsidRPr="00774F69">
          <w:rPr>
            <w:rStyle w:val="Hyperlink"/>
            <w:rFonts w:asciiTheme="minorHAnsi" w:hAnsiTheme="minorHAnsi" w:cstheme="minorHAnsi"/>
            <w:color w:val="auto"/>
            <w:sz w:val="22"/>
            <w:szCs w:val="22"/>
            <w:lang w:val="en-US"/>
          </w:rPr>
          <w:t>WPFC(</w:t>
        </w:r>
        <w:proofErr w:type="gramEnd"/>
        <w:r w:rsidRPr="00774F69">
          <w:rPr>
            <w:rStyle w:val="Hyperlink"/>
            <w:rFonts w:asciiTheme="minorHAnsi" w:hAnsiTheme="minorHAnsi" w:cstheme="minorHAnsi"/>
            <w:color w:val="auto"/>
            <w:sz w:val="22"/>
            <w:szCs w:val="22"/>
            <w:lang w:val="en-US"/>
          </w:rPr>
          <w:t>2013)2</w:t>
        </w:r>
      </w:hyperlink>
      <w:r w:rsidRPr="00774F69">
        <w:rPr>
          <w:rFonts w:asciiTheme="minorHAnsi" w:hAnsiTheme="minorHAnsi" w:cstheme="minorHAnsi"/>
          <w:color w:val="auto"/>
          <w:sz w:val="22"/>
          <w:szCs w:val="22"/>
          <w:lang w:val="en-US"/>
        </w:rPr>
        <w:t xml:space="preserve">] </w:t>
      </w:r>
    </w:p>
    <w:p w:rsidR="00C43052" w:rsidRPr="00774F69" w:rsidRDefault="00C43052" w:rsidP="00C43052">
      <w:pPr>
        <w:pStyle w:val="Default"/>
        <w:tabs>
          <w:tab w:val="left" w:pos="993"/>
        </w:tabs>
        <w:ind w:left="993"/>
        <w:rPr>
          <w:rFonts w:asciiTheme="minorHAnsi" w:hAnsiTheme="minorHAnsi" w:cstheme="minorHAnsi"/>
          <w:color w:val="auto"/>
          <w:sz w:val="22"/>
          <w:szCs w:val="22"/>
          <w:lang w:val="en-US"/>
        </w:rPr>
      </w:pPr>
      <w:r w:rsidRPr="00774F69">
        <w:rPr>
          <w:rFonts w:asciiTheme="minorHAnsi" w:hAnsiTheme="minorHAnsi" w:cstheme="minorHAnsi"/>
          <w:color w:val="auto"/>
          <w:sz w:val="22"/>
          <w:szCs w:val="22"/>
          <w:lang w:val="en-US"/>
        </w:rPr>
        <w:t>Extended at the 12</w:t>
      </w:r>
      <w:r w:rsidRPr="00774F69">
        <w:rPr>
          <w:rFonts w:asciiTheme="minorHAnsi" w:hAnsiTheme="minorHAnsi" w:cstheme="minorHAnsi"/>
          <w:color w:val="auto"/>
          <w:sz w:val="22"/>
          <w:szCs w:val="22"/>
          <w:vertAlign w:val="superscript"/>
          <w:lang w:val="en-US"/>
        </w:rPr>
        <w:t>th</w:t>
      </w:r>
      <w:r w:rsidRPr="00774F69">
        <w:rPr>
          <w:rFonts w:asciiTheme="minorHAnsi" w:hAnsiTheme="minorHAnsi" w:cstheme="minorHAnsi"/>
          <w:color w:val="auto"/>
          <w:sz w:val="22"/>
          <w:szCs w:val="22"/>
          <w:lang w:val="en-US"/>
        </w:rPr>
        <w:t xml:space="preserve"> meeting of the Working Party on Scientific Issues of the Fuel Cycle in February 2014 [</w:t>
      </w:r>
      <w:hyperlink r:id="rId8" w:history="1">
        <w:r w:rsidRPr="00774F69">
          <w:rPr>
            <w:rStyle w:val="Hyperlink"/>
            <w:rFonts w:asciiTheme="minorHAnsi" w:hAnsiTheme="minorHAnsi" w:cstheme="minorHAnsi"/>
            <w:color w:val="auto"/>
            <w:sz w:val="22"/>
            <w:szCs w:val="22"/>
            <w:lang w:val="en-US"/>
          </w:rPr>
          <w:t>NEA/SEN/NSC/</w:t>
        </w:r>
        <w:proofErr w:type="gramStart"/>
        <w:r w:rsidRPr="00774F69">
          <w:rPr>
            <w:rStyle w:val="Hyperlink"/>
            <w:rFonts w:asciiTheme="minorHAnsi" w:hAnsiTheme="minorHAnsi" w:cstheme="minorHAnsi"/>
            <w:color w:val="auto"/>
            <w:sz w:val="22"/>
            <w:szCs w:val="22"/>
            <w:lang w:val="en-US"/>
          </w:rPr>
          <w:t>WPFC(</w:t>
        </w:r>
        <w:proofErr w:type="gramEnd"/>
        <w:r w:rsidRPr="00774F69">
          <w:rPr>
            <w:rStyle w:val="Hyperlink"/>
            <w:rFonts w:asciiTheme="minorHAnsi" w:hAnsiTheme="minorHAnsi" w:cstheme="minorHAnsi"/>
            <w:color w:val="auto"/>
            <w:sz w:val="22"/>
            <w:szCs w:val="22"/>
            <w:lang w:val="en-US"/>
          </w:rPr>
          <w:t>2014)2/REV1</w:t>
        </w:r>
      </w:hyperlink>
      <w:r w:rsidRPr="00774F69">
        <w:rPr>
          <w:rFonts w:asciiTheme="minorHAnsi" w:hAnsiTheme="minorHAnsi" w:cstheme="minorHAnsi"/>
          <w:color w:val="auto"/>
          <w:sz w:val="22"/>
          <w:szCs w:val="22"/>
          <w:lang w:val="en-US"/>
        </w:rPr>
        <w:t xml:space="preserve">] </w:t>
      </w:r>
    </w:p>
    <w:p w:rsidR="00C43052" w:rsidRPr="00774F69" w:rsidRDefault="00C43052" w:rsidP="00C43052">
      <w:pPr>
        <w:pStyle w:val="Default"/>
        <w:tabs>
          <w:tab w:val="left" w:pos="993"/>
        </w:tabs>
        <w:spacing w:after="480"/>
        <w:ind w:left="993"/>
        <w:rPr>
          <w:rFonts w:asciiTheme="minorHAnsi" w:hAnsiTheme="minorHAnsi" w:cstheme="minorHAnsi"/>
          <w:color w:val="auto"/>
          <w:sz w:val="22"/>
          <w:szCs w:val="22"/>
          <w:lang w:val="en-US"/>
        </w:rPr>
      </w:pPr>
      <w:r w:rsidRPr="00774F69">
        <w:rPr>
          <w:rFonts w:asciiTheme="minorHAnsi" w:hAnsiTheme="minorHAnsi" w:cstheme="minorHAnsi"/>
          <w:color w:val="auto"/>
          <w:sz w:val="22"/>
          <w:szCs w:val="22"/>
          <w:lang w:val="en-US"/>
        </w:rPr>
        <w:t>Revised at the 13</w:t>
      </w:r>
      <w:r w:rsidRPr="00774F69">
        <w:rPr>
          <w:rFonts w:asciiTheme="minorHAnsi" w:hAnsiTheme="minorHAnsi" w:cstheme="minorHAnsi"/>
          <w:color w:val="auto"/>
          <w:sz w:val="22"/>
          <w:szCs w:val="22"/>
          <w:vertAlign w:val="superscript"/>
          <w:lang w:val="en-US"/>
        </w:rPr>
        <w:t>th</w:t>
      </w:r>
      <w:r w:rsidRPr="00774F69">
        <w:rPr>
          <w:rFonts w:asciiTheme="minorHAnsi" w:hAnsiTheme="minorHAnsi" w:cstheme="minorHAnsi"/>
          <w:color w:val="auto"/>
          <w:sz w:val="22"/>
          <w:szCs w:val="22"/>
          <w:lang w:val="en-US"/>
        </w:rPr>
        <w:t xml:space="preserve"> meeting of the Working Party on Scientific Issues of the Fuel Cycle in February 2015 [</w:t>
      </w:r>
      <w:hyperlink r:id="rId9" w:history="1">
        <w:r w:rsidRPr="00774F69">
          <w:rPr>
            <w:rStyle w:val="Hyperlink"/>
            <w:rFonts w:asciiTheme="minorHAnsi" w:hAnsiTheme="minorHAnsi" w:cstheme="minorHAnsi"/>
            <w:color w:val="auto"/>
            <w:sz w:val="22"/>
            <w:szCs w:val="22"/>
            <w:lang w:val="en-US"/>
          </w:rPr>
          <w:t>NEA/SEN/NSC/</w:t>
        </w:r>
        <w:proofErr w:type="gramStart"/>
        <w:r w:rsidRPr="00774F69">
          <w:rPr>
            <w:rStyle w:val="Hyperlink"/>
            <w:rFonts w:asciiTheme="minorHAnsi" w:hAnsiTheme="minorHAnsi" w:cstheme="minorHAnsi"/>
            <w:color w:val="auto"/>
            <w:sz w:val="22"/>
            <w:szCs w:val="22"/>
            <w:lang w:val="en-US"/>
          </w:rPr>
          <w:t>WPFC(</w:t>
        </w:r>
        <w:proofErr w:type="gramEnd"/>
        <w:r w:rsidRPr="00774F69">
          <w:rPr>
            <w:rStyle w:val="Hyperlink"/>
            <w:rFonts w:asciiTheme="minorHAnsi" w:hAnsiTheme="minorHAnsi" w:cstheme="minorHAnsi"/>
            <w:color w:val="auto"/>
            <w:sz w:val="22"/>
            <w:szCs w:val="22"/>
            <w:lang w:val="en-US"/>
          </w:rPr>
          <w:t>2015)2</w:t>
        </w:r>
      </w:hyperlink>
      <w:r w:rsidRPr="00774F69">
        <w:rPr>
          <w:rFonts w:asciiTheme="minorHAnsi" w:hAnsiTheme="minorHAnsi" w:cstheme="minorHAnsi"/>
          <w:color w:val="auto"/>
          <w:sz w:val="22"/>
          <w:szCs w:val="22"/>
          <w:lang w:val="en-US"/>
        </w:rPr>
        <w:t>]</w:t>
      </w:r>
    </w:p>
    <w:p w:rsidR="00C43052" w:rsidRPr="001F48C0" w:rsidRDefault="00C43052" w:rsidP="00C43052">
      <w:pPr>
        <w:pStyle w:val="Default"/>
        <w:spacing w:after="120"/>
        <w:rPr>
          <w:rFonts w:asciiTheme="minorHAnsi" w:hAnsiTheme="minorHAnsi" w:cstheme="minorHAnsi"/>
          <w:sz w:val="22"/>
          <w:szCs w:val="22"/>
          <w:lang w:val="en-GB"/>
        </w:rPr>
      </w:pPr>
      <w:r w:rsidRPr="001F48C0">
        <w:rPr>
          <w:rFonts w:asciiTheme="minorHAnsi" w:hAnsiTheme="minorHAnsi" w:cstheme="minorHAnsi"/>
          <w:b/>
          <w:bCs/>
          <w:sz w:val="22"/>
          <w:szCs w:val="22"/>
          <w:lang w:val="en-GB"/>
        </w:rPr>
        <w:t>Objective</w:t>
      </w:r>
    </w:p>
    <w:p w:rsidR="00C43052" w:rsidRPr="001F48C0" w:rsidRDefault="00C43052" w:rsidP="00C43052">
      <w:pPr>
        <w:pStyle w:val="Default"/>
        <w:jc w:val="both"/>
        <w:rPr>
          <w:rFonts w:asciiTheme="minorHAnsi" w:hAnsiTheme="minorHAnsi" w:cstheme="minorHAnsi"/>
          <w:sz w:val="22"/>
          <w:szCs w:val="22"/>
          <w:lang w:val="en-GB"/>
        </w:rPr>
      </w:pPr>
      <w:r w:rsidRPr="001F48C0">
        <w:rPr>
          <w:rFonts w:asciiTheme="minorHAnsi" w:hAnsiTheme="minorHAnsi" w:cstheme="minorHAnsi"/>
          <w:sz w:val="22"/>
          <w:szCs w:val="22"/>
          <w:lang w:val="en-GB"/>
        </w:rPr>
        <w:t>Under the guidance of the Nuclear Science Committee (NSC) and the mandate of the Working Party on Scientific Issues of the Fuel Cycle (WPFC), the Expert Group will perform task to study needs associated with the transition from current or future advanced nuclear fuel cycles. The objectives of this Expert Group are:</w:t>
      </w:r>
    </w:p>
    <w:p w:rsidR="00C43052" w:rsidRPr="001F48C0" w:rsidRDefault="00C43052" w:rsidP="00C43052">
      <w:pPr>
        <w:pStyle w:val="Default"/>
        <w:numPr>
          <w:ilvl w:val="0"/>
          <w:numId w:val="1"/>
        </w:numPr>
        <w:spacing w:after="25"/>
        <w:jc w:val="both"/>
        <w:rPr>
          <w:rFonts w:asciiTheme="minorHAnsi" w:hAnsiTheme="minorHAnsi" w:cstheme="minorHAnsi"/>
          <w:sz w:val="22"/>
          <w:szCs w:val="22"/>
          <w:lang w:val="en-GB"/>
        </w:rPr>
      </w:pPr>
      <w:r w:rsidRPr="001F48C0">
        <w:rPr>
          <w:rFonts w:asciiTheme="minorHAnsi" w:hAnsiTheme="minorHAnsi" w:cstheme="minorHAnsi"/>
          <w:sz w:val="22"/>
          <w:szCs w:val="22"/>
          <w:lang w:val="en-GB"/>
        </w:rPr>
        <w:t>To assemble, organise and understand the scientific issues of advanced fuel cycles;</w:t>
      </w:r>
    </w:p>
    <w:p w:rsidR="00C43052" w:rsidRPr="001F48C0" w:rsidRDefault="00C43052" w:rsidP="00C43052">
      <w:pPr>
        <w:pStyle w:val="Default"/>
        <w:numPr>
          <w:ilvl w:val="0"/>
          <w:numId w:val="1"/>
        </w:numPr>
        <w:spacing w:after="240"/>
        <w:jc w:val="both"/>
        <w:rPr>
          <w:rFonts w:asciiTheme="minorHAnsi" w:hAnsiTheme="minorHAnsi" w:cstheme="minorHAnsi"/>
          <w:sz w:val="22"/>
          <w:szCs w:val="22"/>
          <w:lang w:val="en-GB"/>
        </w:rPr>
      </w:pPr>
      <w:r w:rsidRPr="001F48C0">
        <w:rPr>
          <w:rFonts w:asciiTheme="minorHAnsi" w:hAnsiTheme="minorHAnsi" w:cstheme="minorHAnsi"/>
          <w:sz w:val="22"/>
          <w:szCs w:val="22"/>
          <w:lang w:val="en-GB"/>
        </w:rPr>
        <w:t>To provide a framework for assessing specific national needs related to implementation of advanced fuel cycles.</w:t>
      </w:r>
    </w:p>
    <w:p w:rsidR="00C43052" w:rsidRPr="001F48C0" w:rsidRDefault="00C43052" w:rsidP="00C43052">
      <w:pPr>
        <w:pStyle w:val="Default"/>
        <w:spacing w:after="120"/>
        <w:jc w:val="both"/>
        <w:rPr>
          <w:rFonts w:asciiTheme="minorHAnsi" w:hAnsiTheme="minorHAnsi" w:cstheme="minorHAnsi"/>
          <w:sz w:val="22"/>
          <w:szCs w:val="22"/>
          <w:lang w:val="en-GB"/>
        </w:rPr>
      </w:pPr>
      <w:r w:rsidRPr="001F48C0">
        <w:rPr>
          <w:rFonts w:asciiTheme="minorHAnsi" w:hAnsiTheme="minorHAnsi" w:cstheme="minorHAnsi"/>
          <w:b/>
          <w:bCs/>
          <w:sz w:val="22"/>
          <w:szCs w:val="22"/>
          <w:lang w:val="en-GB"/>
        </w:rPr>
        <w:t>Scope</w:t>
      </w:r>
    </w:p>
    <w:p w:rsidR="00C43052" w:rsidRPr="001F48C0" w:rsidRDefault="00C43052" w:rsidP="00C43052">
      <w:pPr>
        <w:pStyle w:val="Default"/>
        <w:jc w:val="both"/>
        <w:rPr>
          <w:rFonts w:asciiTheme="minorHAnsi" w:hAnsiTheme="minorHAnsi" w:cstheme="minorHAnsi"/>
          <w:sz w:val="22"/>
          <w:szCs w:val="22"/>
          <w:lang w:val="en-GB"/>
        </w:rPr>
      </w:pPr>
      <w:r w:rsidRPr="001F48C0">
        <w:rPr>
          <w:rFonts w:asciiTheme="minorHAnsi" w:hAnsiTheme="minorHAnsi" w:cstheme="minorHAnsi"/>
          <w:sz w:val="22"/>
          <w:szCs w:val="22"/>
          <w:lang w:val="en-GB"/>
        </w:rPr>
        <w:t xml:space="preserve">These issues are critical to implementing a sustainable nuclear energy infrastructure and this expert group will: </w:t>
      </w:r>
    </w:p>
    <w:p w:rsidR="00C43052" w:rsidRPr="001F48C0" w:rsidRDefault="00C43052" w:rsidP="00C43052">
      <w:pPr>
        <w:pStyle w:val="Default"/>
        <w:numPr>
          <w:ilvl w:val="0"/>
          <w:numId w:val="1"/>
        </w:numPr>
        <w:spacing w:after="27"/>
        <w:jc w:val="both"/>
        <w:rPr>
          <w:rFonts w:asciiTheme="minorHAnsi" w:hAnsiTheme="minorHAnsi" w:cstheme="minorHAnsi"/>
          <w:sz w:val="22"/>
          <w:szCs w:val="22"/>
          <w:lang w:val="en-GB"/>
        </w:rPr>
      </w:pPr>
      <w:r w:rsidRPr="001F48C0">
        <w:rPr>
          <w:rFonts w:asciiTheme="minorHAnsi" w:hAnsiTheme="minorHAnsi" w:cstheme="minorHAnsi"/>
          <w:sz w:val="22"/>
          <w:szCs w:val="22"/>
          <w:lang w:val="en-GB"/>
        </w:rPr>
        <w:t>Define the key scientific issues by collecting and comparing information available from experts in member states, organise the information in a systematic way, and provide a deep level of understanding of each of them;</w:t>
      </w:r>
    </w:p>
    <w:p w:rsidR="00C43052" w:rsidRPr="001F48C0" w:rsidRDefault="00C43052" w:rsidP="00C43052">
      <w:pPr>
        <w:pStyle w:val="Default"/>
        <w:numPr>
          <w:ilvl w:val="0"/>
          <w:numId w:val="1"/>
        </w:numPr>
        <w:spacing w:after="27"/>
        <w:jc w:val="both"/>
        <w:rPr>
          <w:rFonts w:asciiTheme="minorHAnsi" w:hAnsiTheme="minorHAnsi" w:cstheme="minorHAnsi"/>
          <w:sz w:val="22"/>
          <w:szCs w:val="22"/>
          <w:lang w:val="en-GB"/>
        </w:rPr>
      </w:pPr>
      <w:r w:rsidRPr="001F48C0">
        <w:rPr>
          <w:rFonts w:asciiTheme="minorHAnsi" w:hAnsiTheme="minorHAnsi" w:cstheme="minorHAnsi"/>
          <w:sz w:val="22"/>
          <w:szCs w:val="22"/>
          <w:lang w:val="en-GB"/>
        </w:rPr>
        <w:t>Assemble technical information on the existing and future technologies, including transmutation and storage technologies;</w:t>
      </w:r>
    </w:p>
    <w:p w:rsidR="00C43052" w:rsidRPr="001F48C0" w:rsidRDefault="00C43052" w:rsidP="00C43052">
      <w:pPr>
        <w:pStyle w:val="Default"/>
        <w:numPr>
          <w:ilvl w:val="0"/>
          <w:numId w:val="1"/>
        </w:numPr>
        <w:spacing w:after="27"/>
        <w:jc w:val="both"/>
        <w:rPr>
          <w:rFonts w:asciiTheme="minorHAnsi" w:hAnsiTheme="minorHAnsi" w:cstheme="minorHAnsi"/>
          <w:sz w:val="22"/>
          <w:szCs w:val="22"/>
          <w:lang w:val="en-GB"/>
        </w:rPr>
      </w:pPr>
      <w:r w:rsidRPr="001F48C0">
        <w:rPr>
          <w:rFonts w:asciiTheme="minorHAnsi" w:hAnsiTheme="minorHAnsi" w:cstheme="minorHAnsi"/>
          <w:sz w:val="22"/>
          <w:szCs w:val="22"/>
          <w:lang w:val="en-GB"/>
        </w:rPr>
        <w:lastRenderedPageBreak/>
        <w:t>Develop and assess generic scenarios that are representative of the different strategies envisaged for the member states;</w:t>
      </w:r>
    </w:p>
    <w:p w:rsidR="00C43052" w:rsidRPr="001F48C0" w:rsidRDefault="00C43052" w:rsidP="00C43052">
      <w:pPr>
        <w:pStyle w:val="Default"/>
        <w:numPr>
          <w:ilvl w:val="0"/>
          <w:numId w:val="1"/>
        </w:numPr>
        <w:spacing w:after="27"/>
        <w:jc w:val="both"/>
        <w:rPr>
          <w:rFonts w:asciiTheme="minorHAnsi" w:hAnsiTheme="minorHAnsi" w:cstheme="minorHAnsi"/>
          <w:sz w:val="22"/>
          <w:szCs w:val="22"/>
          <w:lang w:val="en-GB"/>
        </w:rPr>
      </w:pPr>
      <w:r w:rsidRPr="001F48C0">
        <w:rPr>
          <w:rFonts w:asciiTheme="minorHAnsi" w:hAnsiTheme="minorHAnsi" w:cstheme="minorHAnsi"/>
          <w:sz w:val="22"/>
          <w:szCs w:val="22"/>
          <w:lang w:val="en-GB"/>
        </w:rPr>
        <w:t>Evaluate the potential of systems beyond the current thermal and fast technologies;</w:t>
      </w:r>
    </w:p>
    <w:p w:rsidR="00C43052" w:rsidRDefault="00C43052" w:rsidP="00C43052">
      <w:pPr>
        <w:pStyle w:val="Default"/>
        <w:numPr>
          <w:ilvl w:val="0"/>
          <w:numId w:val="1"/>
        </w:numPr>
        <w:spacing w:after="240"/>
        <w:jc w:val="both"/>
        <w:rPr>
          <w:rFonts w:asciiTheme="minorHAnsi" w:hAnsiTheme="minorHAnsi" w:cstheme="minorHAnsi"/>
          <w:sz w:val="22"/>
          <w:szCs w:val="22"/>
          <w:lang w:val="en-GB"/>
        </w:rPr>
      </w:pPr>
      <w:r w:rsidRPr="001F48C0">
        <w:rPr>
          <w:rFonts w:asciiTheme="minorHAnsi" w:hAnsiTheme="minorHAnsi" w:cstheme="minorHAnsi"/>
          <w:sz w:val="22"/>
          <w:szCs w:val="22"/>
          <w:lang w:val="en-GB"/>
        </w:rPr>
        <w:t>Co-operate with other study groups (e.g. EC, IAEA, etc.) and other activities being carried out under the NEA standing technical committees such as NDC and RWMC, particularly with WPRS Expert Group on reactor physics and advanced nuclear systems.</w:t>
      </w:r>
    </w:p>
    <w:p w:rsidR="00C43052" w:rsidRPr="00883AA6" w:rsidRDefault="00C43052" w:rsidP="00C43052">
      <w:pPr>
        <w:pStyle w:val="Default"/>
        <w:spacing w:after="120"/>
        <w:rPr>
          <w:rFonts w:asciiTheme="minorHAnsi" w:hAnsiTheme="minorHAnsi" w:cstheme="minorHAnsi"/>
          <w:b/>
          <w:bCs/>
          <w:sz w:val="22"/>
          <w:szCs w:val="22"/>
          <w:lang w:val="en-GB"/>
        </w:rPr>
      </w:pPr>
      <w:r w:rsidRPr="001F48C0">
        <w:rPr>
          <w:rFonts w:asciiTheme="minorHAnsi" w:hAnsiTheme="minorHAnsi" w:cstheme="minorHAnsi"/>
          <w:b/>
          <w:bCs/>
          <w:sz w:val="22"/>
          <w:szCs w:val="22"/>
          <w:lang w:val="en-GB"/>
        </w:rPr>
        <w:t>Activities</w:t>
      </w:r>
    </w:p>
    <w:p w:rsidR="00C43052" w:rsidRPr="001F48C0" w:rsidRDefault="00C43052" w:rsidP="00C43052">
      <w:pPr>
        <w:pStyle w:val="Default"/>
        <w:numPr>
          <w:ilvl w:val="0"/>
          <w:numId w:val="1"/>
        </w:numPr>
        <w:spacing w:after="25"/>
        <w:rPr>
          <w:rFonts w:asciiTheme="minorHAnsi" w:hAnsiTheme="minorHAnsi" w:cstheme="minorHAnsi"/>
          <w:sz w:val="22"/>
          <w:szCs w:val="22"/>
          <w:lang w:val="en-GB"/>
        </w:rPr>
      </w:pPr>
      <w:r w:rsidRPr="001F48C0">
        <w:rPr>
          <w:rFonts w:asciiTheme="minorHAnsi" w:hAnsiTheme="minorHAnsi" w:cstheme="minorHAnsi"/>
          <w:sz w:val="22"/>
          <w:szCs w:val="22"/>
          <w:lang w:val="en-GB"/>
        </w:rPr>
        <w:t>New fuel cycle simulator tools;</w:t>
      </w:r>
    </w:p>
    <w:p w:rsidR="00C43052" w:rsidRPr="001F48C0" w:rsidRDefault="00C43052" w:rsidP="00C43052">
      <w:pPr>
        <w:pStyle w:val="Default"/>
        <w:numPr>
          <w:ilvl w:val="0"/>
          <w:numId w:val="1"/>
        </w:numPr>
        <w:spacing w:after="25"/>
        <w:rPr>
          <w:rFonts w:asciiTheme="minorHAnsi" w:hAnsiTheme="minorHAnsi" w:cstheme="minorHAnsi"/>
          <w:sz w:val="22"/>
          <w:szCs w:val="22"/>
          <w:lang w:val="en-GB"/>
        </w:rPr>
      </w:pPr>
      <w:r w:rsidRPr="001F48C0">
        <w:rPr>
          <w:rFonts w:asciiTheme="minorHAnsi" w:hAnsiTheme="minorHAnsi" w:cstheme="minorHAnsi"/>
          <w:sz w:val="22"/>
          <w:szCs w:val="22"/>
          <w:lang w:val="en-GB"/>
        </w:rPr>
        <w:t>Scenario studies using advanced light water reactors (high burn-up, high conversion ratio, inert matrix fuel, etc.);</w:t>
      </w:r>
    </w:p>
    <w:p w:rsidR="00C43052" w:rsidRPr="001F48C0" w:rsidRDefault="00C43052" w:rsidP="00C43052">
      <w:pPr>
        <w:pStyle w:val="Default"/>
        <w:numPr>
          <w:ilvl w:val="0"/>
          <w:numId w:val="1"/>
        </w:numPr>
        <w:spacing w:after="25"/>
        <w:rPr>
          <w:rFonts w:asciiTheme="minorHAnsi" w:hAnsiTheme="minorHAnsi" w:cstheme="minorHAnsi"/>
          <w:sz w:val="22"/>
          <w:szCs w:val="22"/>
          <w:lang w:val="en-GB"/>
        </w:rPr>
      </w:pPr>
      <w:r w:rsidRPr="001F48C0">
        <w:rPr>
          <w:rFonts w:asciiTheme="minorHAnsi" w:hAnsiTheme="minorHAnsi" w:cstheme="minorHAnsi"/>
          <w:sz w:val="22"/>
          <w:szCs w:val="22"/>
          <w:lang w:val="en-GB"/>
        </w:rPr>
        <w:t xml:space="preserve">Investigation of </w:t>
      </w:r>
      <w:proofErr w:type="spellStart"/>
      <w:r w:rsidRPr="001F48C0">
        <w:rPr>
          <w:rFonts w:asciiTheme="minorHAnsi" w:hAnsiTheme="minorHAnsi" w:cstheme="minorHAnsi"/>
          <w:sz w:val="22"/>
          <w:szCs w:val="22"/>
          <w:lang w:val="en-GB"/>
        </w:rPr>
        <w:t>Th</w:t>
      </w:r>
      <w:proofErr w:type="spellEnd"/>
      <w:r w:rsidRPr="001F48C0">
        <w:rPr>
          <w:rFonts w:asciiTheme="minorHAnsi" w:hAnsiTheme="minorHAnsi" w:cstheme="minorHAnsi"/>
          <w:sz w:val="22"/>
          <w:szCs w:val="22"/>
          <w:lang w:val="en-GB"/>
        </w:rPr>
        <w:t xml:space="preserve"> fuel cycle and transition with legacy U cycle waste elimination;</w:t>
      </w:r>
    </w:p>
    <w:p w:rsidR="00C43052" w:rsidRPr="001F48C0" w:rsidRDefault="00C43052" w:rsidP="00C43052">
      <w:pPr>
        <w:pStyle w:val="Default"/>
        <w:numPr>
          <w:ilvl w:val="0"/>
          <w:numId w:val="1"/>
        </w:numPr>
        <w:spacing w:after="25"/>
        <w:rPr>
          <w:rFonts w:asciiTheme="minorHAnsi" w:hAnsiTheme="minorHAnsi" w:cstheme="minorHAnsi"/>
          <w:sz w:val="22"/>
          <w:szCs w:val="22"/>
          <w:lang w:val="en-GB"/>
        </w:rPr>
      </w:pPr>
      <w:r w:rsidRPr="001F48C0">
        <w:rPr>
          <w:rFonts w:asciiTheme="minorHAnsi" w:hAnsiTheme="minorHAnsi" w:cstheme="minorHAnsi"/>
          <w:sz w:val="22"/>
          <w:szCs w:val="22"/>
          <w:lang w:val="en-GB"/>
        </w:rPr>
        <w:t xml:space="preserve">High temperature reactor with </w:t>
      </w:r>
      <w:proofErr w:type="spellStart"/>
      <w:r w:rsidRPr="001F48C0">
        <w:rPr>
          <w:rFonts w:asciiTheme="minorHAnsi" w:hAnsiTheme="minorHAnsi" w:cstheme="minorHAnsi"/>
          <w:sz w:val="22"/>
          <w:szCs w:val="22"/>
          <w:lang w:val="en-GB"/>
        </w:rPr>
        <w:t>transuranics</w:t>
      </w:r>
      <w:proofErr w:type="spellEnd"/>
      <w:r w:rsidRPr="001F48C0">
        <w:rPr>
          <w:rFonts w:asciiTheme="minorHAnsi" w:hAnsiTheme="minorHAnsi" w:cstheme="minorHAnsi"/>
          <w:sz w:val="22"/>
          <w:szCs w:val="22"/>
          <w:lang w:val="en-GB"/>
        </w:rPr>
        <w:t xml:space="preserve"> deep burn mission;</w:t>
      </w:r>
    </w:p>
    <w:p w:rsidR="00C43052" w:rsidRPr="001F48C0" w:rsidRDefault="00C43052" w:rsidP="00C43052">
      <w:pPr>
        <w:pStyle w:val="Default"/>
        <w:numPr>
          <w:ilvl w:val="0"/>
          <w:numId w:val="1"/>
        </w:numPr>
        <w:rPr>
          <w:rFonts w:asciiTheme="minorHAnsi" w:hAnsiTheme="minorHAnsi" w:cstheme="minorHAnsi"/>
          <w:sz w:val="22"/>
          <w:szCs w:val="22"/>
          <w:lang w:val="en-GB"/>
        </w:rPr>
      </w:pPr>
      <w:r w:rsidRPr="001F48C0">
        <w:rPr>
          <w:rFonts w:asciiTheme="minorHAnsi" w:hAnsiTheme="minorHAnsi" w:cstheme="minorHAnsi"/>
          <w:sz w:val="22"/>
          <w:szCs w:val="22"/>
          <w:lang w:val="en-GB"/>
        </w:rPr>
        <w:t>Comparative study among ADS, fission/fusion hybrids with critical, low conversion ratio fast reactors;</w:t>
      </w:r>
    </w:p>
    <w:p w:rsidR="00C43052" w:rsidRPr="001F48C0" w:rsidRDefault="00C43052" w:rsidP="00C43052">
      <w:pPr>
        <w:pStyle w:val="Default"/>
        <w:numPr>
          <w:ilvl w:val="0"/>
          <w:numId w:val="1"/>
        </w:numPr>
        <w:spacing w:after="240"/>
        <w:rPr>
          <w:rFonts w:asciiTheme="minorHAnsi" w:hAnsiTheme="minorHAnsi" w:cstheme="minorHAnsi"/>
          <w:sz w:val="22"/>
          <w:szCs w:val="22"/>
          <w:lang w:val="en-GB"/>
        </w:rPr>
      </w:pPr>
      <w:r w:rsidRPr="001F48C0">
        <w:rPr>
          <w:rFonts w:asciiTheme="minorHAnsi" w:hAnsiTheme="minorHAnsi" w:cstheme="minorHAnsi"/>
          <w:sz w:val="22"/>
          <w:szCs w:val="22"/>
          <w:lang w:val="en-GB"/>
        </w:rPr>
        <w:t xml:space="preserve">Benchmark on dose rate calculations for irradiated for </w:t>
      </w:r>
      <w:proofErr w:type="spellStart"/>
      <w:r w:rsidRPr="001F48C0">
        <w:rPr>
          <w:rFonts w:asciiTheme="minorHAnsi" w:hAnsiTheme="minorHAnsi" w:cstheme="minorHAnsi"/>
          <w:sz w:val="22"/>
          <w:szCs w:val="22"/>
          <w:lang w:val="en-GB"/>
        </w:rPr>
        <w:t>UOx</w:t>
      </w:r>
      <w:proofErr w:type="spellEnd"/>
      <w:r w:rsidRPr="001F48C0">
        <w:rPr>
          <w:rFonts w:asciiTheme="minorHAnsi" w:hAnsiTheme="minorHAnsi" w:cstheme="minorHAnsi"/>
          <w:sz w:val="22"/>
          <w:szCs w:val="22"/>
          <w:lang w:val="en-GB"/>
        </w:rPr>
        <w:t xml:space="preserve"> and MOX spent fuel assembly (taskforce).</w:t>
      </w:r>
    </w:p>
    <w:p w:rsidR="00C43052" w:rsidRPr="001F48C0" w:rsidRDefault="00C43052" w:rsidP="00C43052">
      <w:pPr>
        <w:pStyle w:val="Default"/>
        <w:spacing w:after="120"/>
        <w:rPr>
          <w:rFonts w:asciiTheme="minorHAnsi" w:hAnsiTheme="minorHAnsi" w:cstheme="minorHAnsi"/>
          <w:sz w:val="22"/>
          <w:szCs w:val="22"/>
          <w:lang w:val="en-GB"/>
        </w:rPr>
      </w:pPr>
      <w:r w:rsidRPr="001F48C0">
        <w:rPr>
          <w:rFonts w:asciiTheme="minorHAnsi" w:hAnsiTheme="minorHAnsi" w:cstheme="minorHAnsi"/>
          <w:b/>
          <w:bCs/>
          <w:sz w:val="22"/>
          <w:szCs w:val="22"/>
          <w:lang w:val="en-GB"/>
        </w:rPr>
        <w:t>Deliverables</w:t>
      </w:r>
    </w:p>
    <w:p w:rsidR="00C43052" w:rsidRPr="001F48C0" w:rsidRDefault="00C43052" w:rsidP="00C43052">
      <w:pPr>
        <w:pStyle w:val="ListParagraph"/>
        <w:numPr>
          <w:ilvl w:val="0"/>
          <w:numId w:val="1"/>
        </w:numPr>
        <w:rPr>
          <w:rFonts w:asciiTheme="minorHAnsi" w:hAnsiTheme="minorHAnsi" w:cstheme="minorHAnsi"/>
        </w:rPr>
      </w:pPr>
      <w:r w:rsidRPr="001F48C0">
        <w:rPr>
          <w:rFonts w:asciiTheme="minorHAnsi" w:hAnsiTheme="minorHAnsi" w:cstheme="minorHAnsi"/>
        </w:rPr>
        <w:t>Report on the Effects of the Uncertainty of Input Parameters on Nuclear Fuel Cycle Scenario Studies (2015);</w:t>
      </w:r>
    </w:p>
    <w:p w:rsidR="00C43052" w:rsidRPr="001F48C0" w:rsidRDefault="00C43052" w:rsidP="00C43052">
      <w:pPr>
        <w:pStyle w:val="ListParagraph"/>
        <w:numPr>
          <w:ilvl w:val="0"/>
          <w:numId w:val="1"/>
        </w:numPr>
        <w:rPr>
          <w:rFonts w:asciiTheme="minorHAnsi" w:hAnsiTheme="minorHAnsi" w:cstheme="minorHAnsi"/>
        </w:rPr>
      </w:pPr>
      <w:r w:rsidRPr="001F48C0">
        <w:rPr>
          <w:rFonts w:asciiTheme="minorHAnsi" w:hAnsiTheme="minorHAnsi" w:cstheme="minorHAnsi"/>
        </w:rPr>
        <w:t>Report on  Constant Energy Production Scenario;</w:t>
      </w:r>
    </w:p>
    <w:p w:rsidR="00C43052" w:rsidRPr="001F48C0" w:rsidRDefault="00C43052" w:rsidP="00C43052">
      <w:pPr>
        <w:pStyle w:val="ListParagraph"/>
        <w:numPr>
          <w:ilvl w:val="0"/>
          <w:numId w:val="1"/>
        </w:numPr>
        <w:rPr>
          <w:rFonts w:asciiTheme="minorHAnsi" w:hAnsiTheme="minorHAnsi" w:cstheme="minorHAnsi"/>
        </w:rPr>
      </w:pPr>
      <w:r w:rsidRPr="001F48C0">
        <w:rPr>
          <w:rFonts w:asciiTheme="minorHAnsi" w:hAnsiTheme="minorHAnsi" w:cstheme="minorHAnsi"/>
        </w:rPr>
        <w:t>Dose rate calculations for irradiated spent fuel assembly results and analysis.</w:t>
      </w:r>
    </w:p>
    <w:p w:rsidR="00C43052" w:rsidRPr="00C649E3" w:rsidRDefault="00C43052" w:rsidP="00C43052">
      <w:pPr>
        <w:pStyle w:val="BodyText"/>
      </w:pPr>
    </w:p>
    <w:p w:rsidR="00C43052" w:rsidRPr="00C43052" w:rsidRDefault="00C43052">
      <w:pPr>
        <w:rPr>
          <w:lang w:val="en-GB"/>
        </w:rPr>
      </w:pPr>
    </w:p>
    <w:sectPr w:rsidR="00C43052" w:rsidRPr="00C43052" w:rsidSect="00C649E3">
      <w:endnotePr>
        <w:numFmt w:val="decimal"/>
      </w:endnotePr>
      <w:pgSz w:w="11906" w:h="16838"/>
      <w:pgMar w:top="1984" w:right="1247" w:bottom="1814" w:left="1191" w:header="1247" w:footer="124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B018B"/>
    <w:multiLevelType w:val="hybridMultilevel"/>
    <w:tmpl w:val="C13E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2"/>
    <w:rsid w:val="000B5F1F"/>
    <w:rsid w:val="00280C55"/>
    <w:rsid w:val="005C627E"/>
    <w:rsid w:val="00C430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3052"/>
    <w:pPr>
      <w:spacing w:after="240"/>
      <w:ind w:firstLine="442"/>
    </w:pPr>
    <w:rPr>
      <w:rFonts w:ascii="Calibri" w:eastAsia="Calibri" w:hAnsi="Calibri" w:cs="Times New Roman"/>
      <w:lang w:val="en-GB"/>
    </w:rPr>
  </w:style>
  <w:style w:type="character" w:customStyle="1" w:styleId="BodyTextChar">
    <w:name w:val="Body Text Char"/>
    <w:basedOn w:val="DefaultParagraphFont"/>
    <w:link w:val="BodyText"/>
    <w:rsid w:val="00C43052"/>
    <w:rPr>
      <w:rFonts w:ascii="Calibri" w:eastAsia="Calibri" w:hAnsi="Calibri" w:cs="Times New Roman"/>
      <w:lang w:val="en-GB"/>
    </w:rPr>
  </w:style>
  <w:style w:type="paragraph" w:styleId="ListParagraph">
    <w:name w:val="List Paragraph"/>
    <w:basedOn w:val="Normal"/>
    <w:uiPriority w:val="34"/>
    <w:qFormat/>
    <w:rsid w:val="00C43052"/>
    <w:pPr>
      <w:ind w:left="720"/>
      <w:contextualSpacing/>
    </w:pPr>
    <w:rPr>
      <w:rFonts w:ascii="Calibri" w:eastAsia="Calibri" w:hAnsi="Calibri" w:cs="Times New Roman"/>
      <w:lang w:val="en-GB"/>
    </w:rPr>
  </w:style>
  <w:style w:type="character" w:styleId="Hyperlink">
    <w:name w:val="Hyperlink"/>
    <w:uiPriority w:val="99"/>
    <w:unhideWhenUsed/>
    <w:rsid w:val="00C43052"/>
    <w:rPr>
      <w:color w:val="0000FF"/>
      <w:u w:val="single"/>
    </w:rPr>
  </w:style>
  <w:style w:type="paragraph" w:customStyle="1" w:styleId="Default">
    <w:name w:val="Default"/>
    <w:rsid w:val="00C4305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3052"/>
    <w:pPr>
      <w:spacing w:after="240"/>
      <w:ind w:firstLine="442"/>
    </w:pPr>
    <w:rPr>
      <w:rFonts w:ascii="Calibri" w:eastAsia="Calibri" w:hAnsi="Calibri" w:cs="Times New Roman"/>
      <w:lang w:val="en-GB"/>
    </w:rPr>
  </w:style>
  <w:style w:type="character" w:customStyle="1" w:styleId="BodyTextChar">
    <w:name w:val="Body Text Char"/>
    <w:basedOn w:val="DefaultParagraphFont"/>
    <w:link w:val="BodyText"/>
    <w:rsid w:val="00C43052"/>
    <w:rPr>
      <w:rFonts w:ascii="Calibri" w:eastAsia="Calibri" w:hAnsi="Calibri" w:cs="Times New Roman"/>
      <w:lang w:val="en-GB"/>
    </w:rPr>
  </w:style>
  <w:style w:type="paragraph" w:styleId="ListParagraph">
    <w:name w:val="List Paragraph"/>
    <w:basedOn w:val="Normal"/>
    <w:uiPriority w:val="34"/>
    <w:qFormat/>
    <w:rsid w:val="00C43052"/>
    <w:pPr>
      <w:ind w:left="720"/>
      <w:contextualSpacing/>
    </w:pPr>
    <w:rPr>
      <w:rFonts w:ascii="Calibri" w:eastAsia="Calibri" w:hAnsi="Calibri" w:cs="Times New Roman"/>
      <w:lang w:val="en-GB"/>
    </w:rPr>
  </w:style>
  <w:style w:type="character" w:styleId="Hyperlink">
    <w:name w:val="Hyperlink"/>
    <w:uiPriority w:val="99"/>
    <w:unhideWhenUsed/>
    <w:rsid w:val="00C43052"/>
    <w:rPr>
      <w:color w:val="0000FF"/>
      <w:u w:val="single"/>
    </w:rPr>
  </w:style>
  <w:style w:type="paragraph" w:customStyle="1" w:styleId="Default">
    <w:name w:val="Default"/>
    <w:rsid w:val="00C4305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oecd.org/oecdinfo/info.aspx?app=OLIScoteEN&amp;Ref=NEA/SEN/NSC/WPFC(2014)2/REV1" TargetMode="External"/><Relationship Id="rId3" Type="http://schemas.microsoft.com/office/2007/relationships/stylesWithEffects" Target="stylesWithEffects.xml"/><Relationship Id="rId7" Type="http://schemas.openxmlformats.org/officeDocument/2006/relationships/hyperlink" Target="http://www2.oecd.org/oecdinfo/info.aspx?app=OLIScoteEN&amp;Ref=NEA/SEN/NSC/WPFC(20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oecd.org/oecdinfo/info.aspx?app=OLIScoteEN&amp;Ref=NEA/SEN/NSC(201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oecd.org/oecdinfo/info.aspx?app=OLIScoteEN&amp;Ref=NEA/SEN/NSC/WPFC(20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 of the Expert Group on Advanced Fuel Cycle Scenarios (AFCS)</dc:title>
  <dc:creator>NEA Division of Nuclear Science</dc:creator>
  <cp:lastModifiedBy>ANGRES Danielle, NEA/CEN</cp:lastModifiedBy>
  <cp:revision>3</cp:revision>
  <cp:lastPrinted>2015-07-23T12:43:00Z</cp:lastPrinted>
  <dcterms:created xsi:type="dcterms:W3CDTF">2015-05-26T11:57:00Z</dcterms:created>
  <dcterms:modified xsi:type="dcterms:W3CDTF">2017-02-20T09:22:00Z</dcterms:modified>
</cp:coreProperties>
</file>