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72" w:rsidRPr="00A0217B" w:rsidRDefault="001F5BED" w:rsidP="002D727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</w:t>
      </w:r>
      <w:r w:rsidR="002D7272" w:rsidRPr="00A0217B">
        <w:rPr>
          <w:rFonts w:asciiTheme="minorHAnsi" w:hAnsiTheme="minorHAnsi" w:cstheme="minorHAnsi"/>
        </w:rPr>
        <w:t xml:space="preserve"> proceedings – Instructions for authors</w:t>
      </w:r>
    </w:p>
    <w:p w:rsidR="002D7272" w:rsidRPr="00A0217B" w:rsidRDefault="0052712D" w:rsidP="002D7272">
      <w:pPr>
        <w:pStyle w:val="PTAuthor"/>
        <w:rPr>
          <w:rFonts w:asciiTheme="minorHAnsi" w:hAnsiTheme="minorHAnsi" w:cstheme="minorHAnsi"/>
          <w:b w:val="0"/>
          <w:szCs w:val="22"/>
          <w:lang w:eastAsia="zh-CN"/>
        </w:rPr>
      </w:pPr>
      <w:r>
        <w:rPr>
          <w:rFonts w:asciiTheme="minorHAnsi" w:hAnsiTheme="minorHAnsi" w:cstheme="minorHAnsi"/>
          <w:szCs w:val="22"/>
          <w:lang w:eastAsia="zh-CN"/>
        </w:rPr>
        <w:t>Tatiana Ivanova</w:t>
      </w:r>
      <w:r w:rsidR="002D7272" w:rsidRPr="00A0217B">
        <w:rPr>
          <w:rFonts w:asciiTheme="minorHAnsi" w:hAnsiTheme="minorHAnsi" w:cstheme="minorHAnsi"/>
          <w:szCs w:val="22"/>
          <w:vertAlign w:val="superscript"/>
          <w:lang w:eastAsia="zh-CN"/>
        </w:rPr>
        <w:t>1</w:t>
      </w:r>
      <w:r w:rsidR="002D7272" w:rsidRPr="00A0217B">
        <w:rPr>
          <w:rFonts w:asciiTheme="minorHAnsi" w:hAnsiTheme="minorHAnsi" w:cstheme="minorHAnsi"/>
          <w:szCs w:val="22"/>
          <w:lang w:eastAsia="zh-CN"/>
        </w:rPr>
        <w:t xml:space="preserve">, </w:t>
      </w:r>
      <w:r w:rsidR="00A96613">
        <w:rPr>
          <w:rFonts w:asciiTheme="minorHAnsi" w:hAnsiTheme="minorHAnsi" w:cstheme="minorHAnsi"/>
          <w:szCs w:val="22"/>
          <w:lang w:eastAsia="zh-CN"/>
        </w:rPr>
        <w:t>Stephanie Cornet</w:t>
      </w:r>
      <w:r w:rsidR="002D7272" w:rsidRPr="00A0217B">
        <w:rPr>
          <w:rFonts w:asciiTheme="minorHAnsi" w:hAnsiTheme="minorHAnsi" w:cstheme="minorHAnsi"/>
          <w:szCs w:val="22"/>
          <w:vertAlign w:val="superscript"/>
          <w:lang w:eastAsia="zh-CN"/>
        </w:rPr>
        <w:t>1</w:t>
      </w:r>
      <w:proofErr w:type="gramStart"/>
      <w:r w:rsidR="002D7272" w:rsidRPr="00A0217B">
        <w:rPr>
          <w:rFonts w:asciiTheme="minorHAnsi" w:hAnsiTheme="minorHAnsi" w:cstheme="minorHAnsi"/>
          <w:szCs w:val="22"/>
          <w:vertAlign w:val="superscript"/>
          <w:lang w:eastAsia="zh-CN"/>
        </w:rPr>
        <w:t>,2</w:t>
      </w:r>
      <w:proofErr w:type="gramEnd"/>
      <w:r w:rsidR="002D7272" w:rsidRPr="00A0217B">
        <w:rPr>
          <w:rFonts w:asciiTheme="minorHAnsi" w:hAnsiTheme="minorHAnsi" w:cstheme="minorHAnsi"/>
          <w:szCs w:val="22"/>
          <w:lang w:eastAsia="zh-CN"/>
        </w:rPr>
        <w:br/>
      </w:r>
      <w:r w:rsidR="002D7272" w:rsidRPr="00A0217B">
        <w:rPr>
          <w:rFonts w:asciiTheme="minorHAnsi" w:hAnsiTheme="minorHAnsi" w:cstheme="minorHAnsi"/>
          <w:b w:val="0"/>
          <w:szCs w:val="22"/>
          <w:vertAlign w:val="superscript"/>
          <w:lang w:eastAsia="zh-CN"/>
        </w:rPr>
        <w:t>1</w:t>
      </w:r>
      <w:r w:rsidR="002D7272" w:rsidRPr="00A0217B">
        <w:rPr>
          <w:rFonts w:asciiTheme="minorHAnsi" w:hAnsiTheme="minorHAnsi" w:cstheme="minorHAnsi"/>
          <w:b w:val="0"/>
          <w:szCs w:val="22"/>
          <w:lang w:eastAsia="zh-CN"/>
        </w:rPr>
        <w:t>OECD Nuclear Energy Agency</w:t>
      </w:r>
    </w:p>
    <w:p w:rsidR="002D7272" w:rsidRPr="00A0217B" w:rsidRDefault="002D7272" w:rsidP="002D7272">
      <w:pPr>
        <w:pStyle w:val="PTAuthor"/>
        <w:rPr>
          <w:rFonts w:asciiTheme="minorHAnsi" w:hAnsiTheme="minorHAnsi" w:cstheme="minorHAnsi"/>
          <w:b w:val="0"/>
          <w:szCs w:val="22"/>
          <w:lang w:eastAsia="zh-CN"/>
        </w:rPr>
      </w:pPr>
      <w:r w:rsidRPr="00A0217B">
        <w:rPr>
          <w:rFonts w:asciiTheme="minorHAnsi" w:hAnsiTheme="minorHAnsi" w:cstheme="minorHAnsi"/>
          <w:b w:val="0"/>
          <w:szCs w:val="22"/>
          <w:vertAlign w:val="superscript"/>
          <w:lang w:eastAsia="zh-CN"/>
        </w:rPr>
        <w:t>2</w:t>
      </w:r>
      <w:r w:rsidRPr="00A0217B">
        <w:rPr>
          <w:rFonts w:asciiTheme="minorHAnsi" w:hAnsiTheme="minorHAnsi" w:cstheme="minorHAnsi"/>
          <w:b w:val="0"/>
          <w:szCs w:val="22"/>
          <w:lang w:eastAsia="zh-CN"/>
        </w:rPr>
        <w:t>Another Affiliation, Country</w:t>
      </w:r>
    </w:p>
    <w:p w:rsidR="004B60F4" w:rsidRPr="00A0217B" w:rsidRDefault="002A36D3" w:rsidP="004B60F4">
      <w:pPr>
        <w:pStyle w:val="abstracttitle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Abstract</w:t>
      </w:r>
    </w:p>
    <w:p w:rsidR="000F3BFF" w:rsidRPr="00A0217B" w:rsidRDefault="00C130A0" w:rsidP="002D7272">
      <w:pPr>
        <w:pStyle w:val="Abstr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Text: </w:t>
      </w:r>
      <w:r w:rsidR="002D7272" w:rsidRPr="00A0217B">
        <w:rPr>
          <w:rFonts w:asciiTheme="minorHAnsi" w:hAnsiTheme="minorHAnsi" w:cstheme="minorHAnsi"/>
          <w:sz w:val="22"/>
          <w:szCs w:val="22"/>
        </w:rPr>
        <w:t xml:space="preserve">The proceedings will be published by the OECD Nuclear Energy Agency (NEA). </w:t>
      </w:r>
      <w:r w:rsidR="002D7272" w:rsidRPr="00A0217B">
        <w:rPr>
          <w:rFonts w:asciiTheme="minorHAnsi" w:hAnsiTheme="minorHAnsi" w:cstheme="minorHAnsi"/>
          <w:sz w:val="22"/>
          <w:szCs w:val="22"/>
          <w:u w:val="single"/>
        </w:rPr>
        <w:t xml:space="preserve">Only </w:t>
      </w:r>
      <w:r w:rsidR="002D7272" w:rsidRPr="00A0217B">
        <w:rPr>
          <w:rFonts w:asciiTheme="minorHAnsi" w:hAnsiTheme="minorHAnsi" w:cstheme="minorHAnsi"/>
          <w:b/>
          <w:sz w:val="22"/>
          <w:szCs w:val="22"/>
          <w:u w:val="single"/>
        </w:rPr>
        <w:t>MS Word</w:t>
      </w:r>
      <w:r w:rsidR="002D7272" w:rsidRPr="00A0217B">
        <w:rPr>
          <w:rFonts w:asciiTheme="minorHAnsi" w:hAnsiTheme="minorHAnsi" w:cstheme="minorHAnsi"/>
          <w:sz w:val="22"/>
          <w:szCs w:val="22"/>
          <w:u w:val="single"/>
        </w:rPr>
        <w:t xml:space="preserve"> contributions will be accepted.</w:t>
      </w:r>
      <w:r w:rsidR="002D7272" w:rsidRPr="00A0217B">
        <w:rPr>
          <w:rFonts w:asciiTheme="minorHAnsi" w:hAnsiTheme="minorHAnsi" w:cstheme="minorHAnsi"/>
          <w:sz w:val="22"/>
          <w:szCs w:val="22"/>
        </w:rPr>
        <w:t xml:space="preserve"> In order to comply with NEA publication standards, authors are asked to use the present document as a template and follow the recommendations for the style.</w:t>
      </w:r>
      <w:r w:rsidR="00CE7C82" w:rsidRPr="00A021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7272" w:rsidRPr="00A0217B" w:rsidRDefault="002D7272" w:rsidP="004B60F4">
      <w:pPr>
        <w:pStyle w:val="Abstract"/>
        <w:rPr>
          <w:rFonts w:asciiTheme="minorHAnsi" w:hAnsiTheme="minorHAnsi" w:cstheme="minorHAnsi"/>
        </w:rPr>
        <w:sectPr w:rsidR="002D7272" w:rsidRPr="00A0217B" w:rsidSect="00CF77B1">
          <w:headerReference w:type="default" r:id="rId9"/>
          <w:pgSz w:w="11906" w:h="16838" w:code="9"/>
          <w:pgMar w:top="2098" w:right="1418" w:bottom="1928" w:left="1418" w:header="1531" w:footer="1418" w:gutter="0"/>
          <w:cols w:space="708"/>
          <w:docGrid w:linePitch="360"/>
        </w:sectPr>
      </w:pPr>
    </w:p>
    <w:p w:rsidR="002D7272" w:rsidRPr="00A0217B" w:rsidRDefault="002D7272" w:rsidP="00421ECE">
      <w:pPr>
        <w:pStyle w:val="PTHeading2"/>
        <w:tabs>
          <w:tab w:val="clear" w:pos="425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Introduction</w:t>
      </w:r>
    </w:p>
    <w:p w:rsidR="002D7B96" w:rsidRPr="00260C2C" w:rsidRDefault="002D7272" w:rsidP="00421ECE">
      <w:pPr>
        <w:pStyle w:val="PTHeading2"/>
        <w:tabs>
          <w:tab w:val="clear" w:pos="425"/>
        </w:tabs>
        <w:spacing w:before="0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0217B">
        <w:rPr>
          <w:rFonts w:asciiTheme="minorHAnsi" w:hAnsiTheme="minorHAnsi" w:cstheme="minorHAnsi"/>
          <w:b w:val="0"/>
          <w:sz w:val="22"/>
          <w:szCs w:val="22"/>
        </w:rPr>
        <w:t>This document provides general instructions for the preparation of the f</w:t>
      </w:r>
      <w:r w:rsidR="001F5BED">
        <w:rPr>
          <w:rFonts w:asciiTheme="minorHAnsi" w:hAnsiTheme="minorHAnsi" w:cstheme="minorHAnsi"/>
          <w:b w:val="0"/>
          <w:sz w:val="22"/>
          <w:szCs w:val="22"/>
        </w:rPr>
        <w:t>ull contributions to workshop proceedings</w:t>
      </w:r>
      <w:r w:rsidRPr="00A0217B">
        <w:rPr>
          <w:rFonts w:asciiTheme="minorHAnsi" w:hAnsiTheme="minorHAnsi" w:cstheme="minorHAnsi"/>
          <w:b w:val="0"/>
          <w:sz w:val="22"/>
          <w:szCs w:val="22"/>
        </w:rPr>
        <w:t>. The proceedings will be published by the OECD Nuclear Energy Agency (NEA). There is no strict limitation on the number of pages (between 5 and 15 to give an indication). In order to comply with NEA publication standards, authors are asked to use the present document as a template and follow the recommendations for the style.</w:t>
      </w:r>
      <w:r w:rsidR="001E5BC7">
        <w:rPr>
          <w:rFonts w:asciiTheme="minorHAnsi" w:hAnsiTheme="minorHAnsi" w:cstheme="minorHAnsi"/>
          <w:b w:val="0"/>
          <w:sz w:val="22"/>
          <w:szCs w:val="22"/>
        </w:rPr>
        <w:t xml:space="preserve"> For your font style, you may also use </w:t>
      </w:r>
      <w:r w:rsidR="001E5BC7" w:rsidRPr="001E5BC7">
        <w:rPr>
          <w:rFonts w:ascii="Times New Roman" w:hAnsi="Times New Roman" w:cs="Times New Roman"/>
          <w:b w:val="0"/>
          <w:sz w:val="22"/>
          <w:szCs w:val="22"/>
        </w:rPr>
        <w:t>Times New Roman</w:t>
      </w:r>
      <w:r w:rsidR="001E5BC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260C2C" w:rsidRPr="00A0217B" w:rsidRDefault="00260C2C" w:rsidP="00260C2C">
      <w:pPr>
        <w:pStyle w:val="PTHeading3"/>
        <w:tabs>
          <w:tab w:val="clear" w:pos="567"/>
          <w:tab w:val="center" w:pos="4536"/>
          <w:tab w:val="right" w:pos="9072"/>
        </w:tabs>
        <w:spacing w:befor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A0217B">
        <w:rPr>
          <w:rFonts w:asciiTheme="minorHAnsi" w:hAnsiTheme="minorHAnsi" w:cstheme="minorHAnsi"/>
          <w:position w:val="-30"/>
          <w:sz w:val="22"/>
          <w:szCs w:val="22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35.25pt" o:ole="" fillcolor="window">
            <v:imagedata r:id="rId10" o:title=""/>
          </v:shape>
          <o:OLEObject Type="Embed" ProgID="Equation.3" ShapeID="_x0000_i1025" DrawAspect="Content" ObjectID="_1594100530" r:id="rId11"/>
        </w:object>
      </w: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ab/>
        <w:t>(1)</w:t>
      </w:r>
    </w:p>
    <w:p w:rsidR="002D7272" w:rsidRPr="00A0217B" w:rsidRDefault="002D7272" w:rsidP="00421ECE">
      <w:pPr>
        <w:pStyle w:val="PTHeading3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Submission of your full contribution</w:t>
      </w:r>
    </w:p>
    <w:p w:rsidR="002D7272" w:rsidRPr="00A0217B" w:rsidRDefault="001F5BED" w:rsidP="00421ECE">
      <w:pPr>
        <w:pStyle w:val="PTBodytext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the</w:t>
      </w:r>
      <w:r w:rsidR="002D7272" w:rsidRPr="00A0217B">
        <w:rPr>
          <w:rFonts w:asciiTheme="minorHAnsi" w:hAnsiTheme="minorHAnsi" w:cstheme="minorHAnsi"/>
          <w:sz w:val="22"/>
          <w:szCs w:val="22"/>
        </w:rPr>
        <w:t xml:space="preserve"> website for up-to-date instructions.</w:t>
      </w:r>
    </w:p>
    <w:p w:rsidR="002D7272" w:rsidRPr="00A0217B" w:rsidRDefault="002D7272" w:rsidP="00421ECE">
      <w:pPr>
        <w:pStyle w:val="PTHeading2"/>
        <w:tabs>
          <w:tab w:val="clear" w:pos="425"/>
        </w:tabs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Manuscript preparation</w:t>
      </w:r>
      <w:r w:rsidRPr="00A0217B">
        <w:rPr>
          <w:rFonts w:asciiTheme="minorHAnsi" w:hAnsiTheme="minorHAnsi" w:cstheme="minorHAnsi"/>
          <w:sz w:val="22"/>
          <w:szCs w:val="22"/>
        </w:rPr>
        <w:tab/>
      </w:r>
    </w:p>
    <w:p w:rsidR="002D7272" w:rsidRPr="00A0217B" w:rsidRDefault="002D7272" w:rsidP="00421ECE">
      <w:pPr>
        <w:pStyle w:val="PTHeading3"/>
        <w:tabs>
          <w:tab w:val="clear" w:pos="567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Headings and numbering</w:t>
      </w:r>
    </w:p>
    <w:p w:rsidR="00421ECE" w:rsidRDefault="002D7272" w:rsidP="00421ECE">
      <w:pPr>
        <w:pStyle w:val="PTBodytext"/>
        <w:ind w:firstLine="0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Do not use section numbers. The major headings should be formatted as “Heading 2”, the secondary headings as “Heading 3”, etc. The first paragraph following a heading is not indented. If a Heading 3 immediately follows Heading 2, suppress the 12 pts above the Heading 3 (as done in this section).</w:t>
      </w:r>
    </w:p>
    <w:p w:rsidR="002D7272" w:rsidRPr="00A0217B" w:rsidRDefault="002D7272" w:rsidP="00421ECE">
      <w:pPr>
        <w:pStyle w:val="PTBodytext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 xml:space="preserve">Subsequent paragraphs have a </w:t>
      </w:r>
      <w:r w:rsidR="001E5BC7">
        <w:rPr>
          <w:rFonts w:asciiTheme="minorHAnsi" w:hAnsiTheme="minorHAnsi" w:cstheme="minorHAnsi"/>
          <w:sz w:val="22"/>
          <w:szCs w:val="22"/>
        </w:rPr>
        <w:t>0</w:t>
      </w:r>
      <w:r w:rsidRPr="00A0217B">
        <w:rPr>
          <w:rFonts w:asciiTheme="minorHAnsi" w:hAnsiTheme="minorHAnsi" w:cstheme="minorHAnsi"/>
          <w:sz w:val="22"/>
          <w:szCs w:val="22"/>
        </w:rPr>
        <w:t>.75 cm indent. This is the subsequent paragraph.</w:t>
      </w:r>
    </w:p>
    <w:p w:rsidR="002D7272" w:rsidRPr="00A0217B" w:rsidRDefault="002D7272" w:rsidP="00421ECE">
      <w:pPr>
        <w:pStyle w:val="PTHeading3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Figures and tables</w:t>
      </w:r>
    </w:p>
    <w:p w:rsidR="002D7272" w:rsidRPr="00A0217B" w:rsidRDefault="002D7272" w:rsidP="00421ECE">
      <w:pPr>
        <w:pStyle w:val="PTBodytext"/>
        <w:spacing w:after="240"/>
        <w:ind w:firstLine="0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The words “Figure(s)” and “Table(s)” are not abbreviated in the text or in the caption, which is placed above in both cases. Please, see Figure 1 and Table 1 for formatting instructions.</w:t>
      </w:r>
    </w:p>
    <w:p w:rsidR="00313096" w:rsidRPr="00A0217B" w:rsidRDefault="002A36D3" w:rsidP="00764FAF">
      <w:pPr>
        <w:pStyle w:val="TableTitle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 xml:space="preserve">Table 1: </w:t>
      </w:r>
      <w:r w:rsidR="00313096" w:rsidRPr="00A0217B">
        <w:rPr>
          <w:rFonts w:asciiTheme="minorHAnsi" w:hAnsiTheme="minorHAnsi" w:cstheme="minorHAnsi"/>
          <w:sz w:val="22"/>
          <w:szCs w:val="22"/>
        </w:rPr>
        <w:t xml:space="preserve">Table </w:t>
      </w:r>
      <w:r w:rsidR="00766585" w:rsidRPr="00A0217B">
        <w:rPr>
          <w:rFonts w:asciiTheme="minorHAnsi" w:hAnsiTheme="minorHAnsi" w:cstheme="minorHAnsi"/>
          <w:sz w:val="22"/>
          <w:szCs w:val="22"/>
        </w:rPr>
        <w:t>t</w:t>
      </w:r>
      <w:r w:rsidR="00313096" w:rsidRPr="00A0217B">
        <w:rPr>
          <w:rFonts w:asciiTheme="minorHAnsi" w:hAnsiTheme="minorHAnsi" w:cstheme="minorHAnsi"/>
          <w:sz w:val="22"/>
          <w:szCs w:val="22"/>
        </w:rPr>
        <w:t>itle</w:t>
      </w:r>
      <w:r w:rsidR="00667D37" w:rsidRPr="00A0217B">
        <w:rPr>
          <w:rFonts w:asciiTheme="minorHAnsi" w:hAnsiTheme="minorHAnsi" w:cstheme="minorHAnsi"/>
          <w:sz w:val="22"/>
          <w:szCs w:val="22"/>
        </w:rPr>
        <w:t>s are bold and centred</w:t>
      </w:r>
    </w:p>
    <w:tbl>
      <w:tblPr>
        <w:tblW w:w="8315" w:type="dxa"/>
        <w:jc w:val="center"/>
        <w:tblInd w:w="-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6"/>
        <w:gridCol w:w="1427"/>
        <w:gridCol w:w="1883"/>
        <w:gridCol w:w="1883"/>
        <w:gridCol w:w="1556"/>
      </w:tblGrid>
      <w:tr w:rsidR="00313096" w:rsidRPr="001E5BC7" w:rsidTr="00630DFD">
        <w:trPr>
          <w:trHeight w:val="16"/>
          <w:jc w:val="center"/>
        </w:trPr>
        <w:tc>
          <w:tcPr>
            <w:tcW w:w="1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Scenarios</w:t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0%</w:t>
            </w:r>
          </w:p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scenario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15%</w:t>
            </w:r>
          </w:p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scenario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20-25%</w:t>
            </w:r>
          </w:p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scenario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Current</w:t>
            </w:r>
          </w:p>
          <w:p w:rsidR="000E46C8" w:rsidRPr="001E5BC7" w:rsidRDefault="002A36D3">
            <w:pPr>
              <w:pStyle w:val="Cell"/>
              <w:rPr>
                <w:b/>
                <w:sz w:val="22"/>
                <w:szCs w:val="22"/>
              </w:rPr>
            </w:pPr>
            <w:r w:rsidRPr="001E5BC7">
              <w:rPr>
                <w:b/>
                <w:sz w:val="22"/>
                <w:szCs w:val="22"/>
              </w:rPr>
              <w:t>(2010)</w:t>
            </w:r>
          </w:p>
        </w:tc>
      </w:tr>
      <w:tr w:rsidR="00313096" w:rsidRPr="001E5BC7" w:rsidTr="00630DFD">
        <w:trPr>
          <w:trHeight w:val="16"/>
          <w:jc w:val="center"/>
        </w:trPr>
        <w:tc>
          <w:tcPr>
            <w:tcW w:w="1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Nuclear</w:t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0 %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15 %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20-25 %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26 %</w:t>
            </w:r>
          </w:p>
        </w:tc>
      </w:tr>
      <w:tr w:rsidR="00313096" w:rsidRPr="001E5BC7" w:rsidTr="00630DFD">
        <w:trPr>
          <w:trHeight w:val="23"/>
          <w:jc w:val="center"/>
        </w:trPr>
        <w:tc>
          <w:tcPr>
            <w:tcW w:w="1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Renewable energy</w:t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35 %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30 %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25 -30 %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10 %</w:t>
            </w:r>
          </w:p>
        </w:tc>
      </w:tr>
      <w:tr w:rsidR="00313096" w:rsidRPr="001E5BC7" w:rsidTr="00630DFD">
        <w:trPr>
          <w:trHeight w:val="23"/>
          <w:jc w:val="center"/>
        </w:trPr>
        <w:tc>
          <w:tcPr>
            <w:tcW w:w="1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Fossil fuel</w:t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65 %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55 %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50 %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63 %</w:t>
            </w:r>
          </w:p>
        </w:tc>
      </w:tr>
      <w:tr w:rsidR="00313096" w:rsidRPr="001E5BC7" w:rsidTr="00630DFD">
        <w:trPr>
          <w:trHeight w:val="23"/>
          <w:jc w:val="center"/>
        </w:trPr>
        <w:tc>
          <w:tcPr>
            <w:tcW w:w="1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Greenhouse gas emission1</w:t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rFonts w:ascii="Arial" w:hAnsi="Arial" w:cs="Arial"/>
                <w:sz w:val="22"/>
                <w:szCs w:val="22"/>
              </w:rPr>
              <w:t>▲</w:t>
            </w:r>
            <w:r w:rsidRPr="001E5BC7">
              <w:rPr>
                <w:sz w:val="22"/>
                <w:szCs w:val="22"/>
              </w:rPr>
              <w:t>23 %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rFonts w:ascii="Arial" w:hAnsi="Arial" w:cs="Arial"/>
                <w:sz w:val="22"/>
                <w:szCs w:val="22"/>
              </w:rPr>
              <w:t>▲</w:t>
            </w:r>
            <w:r w:rsidRPr="001E5BC7">
              <w:rPr>
                <w:sz w:val="22"/>
                <w:szCs w:val="22"/>
              </w:rPr>
              <w:t>23 %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rFonts w:ascii="Arial" w:hAnsi="Arial" w:cs="Arial"/>
                <w:sz w:val="22"/>
                <w:szCs w:val="22"/>
              </w:rPr>
              <w:t>▲</w:t>
            </w:r>
            <w:r w:rsidRPr="001E5BC7">
              <w:rPr>
                <w:sz w:val="22"/>
                <w:szCs w:val="22"/>
              </w:rPr>
              <w:t>25 %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rFonts w:ascii="Arial" w:hAnsi="Arial" w:cs="Arial"/>
                <w:sz w:val="22"/>
                <w:szCs w:val="22"/>
              </w:rPr>
              <w:t>▲</w:t>
            </w:r>
            <w:r w:rsidRPr="001E5BC7">
              <w:rPr>
                <w:sz w:val="22"/>
                <w:szCs w:val="22"/>
              </w:rPr>
              <w:t>0.3 %</w:t>
            </w:r>
          </w:p>
        </w:tc>
      </w:tr>
      <w:tr w:rsidR="00313096" w:rsidRPr="001E5BC7" w:rsidTr="00630DFD">
        <w:trPr>
          <w:trHeight w:val="23"/>
          <w:jc w:val="center"/>
        </w:trPr>
        <w:tc>
          <w:tcPr>
            <w:tcW w:w="1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Nuclear fuel cycle</w:t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Direct disposal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Reprocessing</w:t>
            </w:r>
            <w:r w:rsidR="00313096" w:rsidRPr="001E5BC7">
              <w:rPr>
                <w:sz w:val="22"/>
                <w:szCs w:val="22"/>
              </w:rPr>
              <w:t>/d</w:t>
            </w:r>
            <w:r w:rsidRPr="001E5BC7">
              <w:rPr>
                <w:sz w:val="22"/>
                <w:szCs w:val="22"/>
              </w:rPr>
              <w:t>irect disposal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Reprocessing/</w:t>
            </w:r>
            <w:r w:rsidR="00313096" w:rsidRPr="001E5BC7">
              <w:rPr>
                <w:sz w:val="22"/>
                <w:szCs w:val="22"/>
              </w:rPr>
              <w:t>d</w:t>
            </w:r>
            <w:r w:rsidRPr="001E5BC7">
              <w:rPr>
                <w:sz w:val="22"/>
                <w:szCs w:val="22"/>
              </w:rPr>
              <w:t>irect disposal</w:t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096" w:rsidRPr="001E5BC7" w:rsidRDefault="002A36D3" w:rsidP="0069334D">
            <w:pPr>
              <w:pStyle w:val="Cell"/>
              <w:rPr>
                <w:sz w:val="22"/>
                <w:szCs w:val="22"/>
              </w:rPr>
            </w:pPr>
            <w:r w:rsidRPr="001E5BC7">
              <w:rPr>
                <w:sz w:val="22"/>
                <w:szCs w:val="22"/>
              </w:rPr>
              <w:t>Reprocessing</w:t>
            </w:r>
          </w:p>
        </w:tc>
      </w:tr>
    </w:tbl>
    <w:p w:rsidR="000E46C8" w:rsidRPr="00A0217B" w:rsidRDefault="00313096">
      <w:pPr>
        <w:pStyle w:val="Figuretablenotesource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Table source</w:t>
      </w:r>
    </w:p>
    <w:p w:rsidR="002D7272" w:rsidRPr="00A0217B" w:rsidRDefault="002D7272" w:rsidP="00D423F4">
      <w:pPr>
        <w:pStyle w:val="FigureTitle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br w:type="page"/>
      </w:r>
    </w:p>
    <w:p w:rsidR="00D423F4" w:rsidRPr="00A0217B" w:rsidRDefault="002A36D3" w:rsidP="00D423F4">
      <w:pPr>
        <w:pStyle w:val="FigureTitle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 xml:space="preserve">Figure </w:t>
      </w:r>
      <w:r w:rsidR="00D423F4" w:rsidRPr="00A0217B">
        <w:rPr>
          <w:rFonts w:asciiTheme="minorHAnsi" w:hAnsiTheme="minorHAnsi" w:cstheme="minorHAnsi"/>
          <w:sz w:val="22"/>
          <w:szCs w:val="22"/>
        </w:rPr>
        <w:t>1</w:t>
      </w:r>
      <w:r w:rsidRPr="00A0217B">
        <w:rPr>
          <w:rFonts w:asciiTheme="minorHAnsi" w:hAnsiTheme="minorHAnsi" w:cstheme="minorHAnsi"/>
          <w:sz w:val="22"/>
          <w:szCs w:val="22"/>
        </w:rPr>
        <w:t xml:space="preserve">: </w:t>
      </w:r>
      <w:r w:rsidR="00D423F4" w:rsidRPr="00A0217B">
        <w:rPr>
          <w:rFonts w:asciiTheme="minorHAnsi" w:hAnsiTheme="minorHAnsi" w:cstheme="minorHAnsi"/>
          <w:sz w:val="22"/>
          <w:szCs w:val="22"/>
        </w:rPr>
        <w:t>Figure title</w:t>
      </w:r>
      <w:r w:rsidR="00667D37" w:rsidRPr="00A0217B">
        <w:rPr>
          <w:rFonts w:asciiTheme="minorHAnsi" w:hAnsiTheme="minorHAnsi" w:cstheme="minorHAnsi"/>
          <w:sz w:val="22"/>
          <w:szCs w:val="22"/>
        </w:rPr>
        <w:t>s are bold and centred</w:t>
      </w:r>
    </w:p>
    <w:p w:rsidR="00D423F4" w:rsidRPr="00A0217B" w:rsidRDefault="00F13ABD" w:rsidP="00D423F4">
      <w:pPr>
        <w:pStyle w:val="FigureTitle"/>
        <w:rPr>
          <w:noProof/>
          <w:sz w:val="22"/>
          <w:szCs w:val="22"/>
          <w:lang w:eastAsia="en-GB"/>
        </w:rPr>
      </w:pPr>
      <w:r w:rsidRPr="00A0217B">
        <w:rPr>
          <w:noProof/>
          <w:sz w:val="22"/>
          <w:szCs w:val="22"/>
          <w:lang w:eastAsia="en-GB"/>
        </w:rPr>
        <w:drawing>
          <wp:inline distT="0" distB="0" distL="0" distR="0" wp14:anchorId="399132D5" wp14:editId="1257E2A2">
            <wp:extent cx="3329305" cy="210566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72" w:rsidRPr="00A0217B" w:rsidRDefault="002D7272" w:rsidP="00421ECE">
      <w:pPr>
        <w:pStyle w:val="PTHeading3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Equations</w:t>
      </w:r>
    </w:p>
    <w:p w:rsidR="002D7272" w:rsidRPr="00A0217B" w:rsidRDefault="002D7272" w:rsidP="00421ECE">
      <w:pPr>
        <w:pStyle w:val="PTHeading3"/>
        <w:tabs>
          <w:tab w:val="clear" w:pos="567"/>
        </w:tabs>
        <w:spacing w:befor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>Large equations should be centred with a right-adjusted Arabic numeral between parentheses. References to the equation in the text are abbreviated. Please see Eq</w:t>
      </w:r>
      <w:r w:rsidR="00B27E53">
        <w:rPr>
          <w:rFonts w:asciiTheme="minorHAnsi" w:hAnsiTheme="minorHAnsi" w:cstheme="minorHAnsi"/>
          <w:b w:val="0"/>
          <w:i w:val="0"/>
          <w:sz w:val="22"/>
          <w:szCs w:val="22"/>
        </w:rPr>
        <w:t>uations</w:t>
      </w:r>
      <w:r w:rsidR="00260C2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1 and</w:t>
      </w: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260C2C">
        <w:rPr>
          <w:rFonts w:asciiTheme="minorHAnsi" w:hAnsiTheme="minorHAnsi" w:cstheme="minorHAnsi"/>
          <w:b w:val="0"/>
          <w:i w:val="0"/>
          <w:sz w:val="22"/>
          <w:szCs w:val="22"/>
        </w:rPr>
        <w:t>2</w:t>
      </w: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2D7272" w:rsidRPr="00A0217B" w:rsidRDefault="002D7272" w:rsidP="002D7272">
      <w:pPr>
        <w:pStyle w:val="PTHeading3"/>
        <w:tabs>
          <w:tab w:val="clear" w:pos="567"/>
          <w:tab w:val="center" w:pos="4536"/>
          <w:tab w:val="right" w:pos="9072"/>
        </w:tabs>
        <w:spacing w:before="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A0217B">
        <w:rPr>
          <w:rFonts w:asciiTheme="minorHAnsi" w:hAnsiTheme="minorHAnsi" w:cstheme="minorHAnsi"/>
          <w:b w:val="0"/>
          <w:i w:val="0"/>
          <w:position w:val="-24"/>
          <w:sz w:val="22"/>
          <w:szCs w:val="22"/>
        </w:rPr>
        <w:object w:dxaOrig="2100" w:dyaOrig="680">
          <v:shape id="_x0000_i1026" type="#_x0000_t75" style="width:104.95pt;height:34.1pt" o:ole="">
            <v:imagedata r:id="rId13" o:title=""/>
          </v:shape>
          <o:OLEObject Type="Embed" ProgID="Equation.3" ShapeID="_x0000_i1026" DrawAspect="Content" ObjectID="_1594100531" r:id="rId14"/>
        </w:object>
      </w: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ab/>
        <w:t>(</w:t>
      </w:r>
      <w:r w:rsidR="00260C2C">
        <w:rPr>
          <w:rFonts w:asciiTheme="minorHAnsi" w:hAnsiTheme="minorHAnsi" w:cstheme="minorHAnsi"/>
          <w:b w:val="0"/>
          <w:i w:val="0"/>
          <w:sz w:val="22"/>
          <w:szCs w:val="22"/>
        </w:rPr>
        <w:t>2</w:t>
      </w:r>
      <w:r w:rsidRPr="00A0217B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</w:p>
    <w:p w:rsidR="00BE080A" w:rsidRPr="00A0217B" w:rsidRDefault="002A36D3" w:rsidP="00421ECE">
      <w:pPr>
        <w:pStyle w:val="Heading2"/>
        <w:ind w:left="0" w:right="-2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Acknowledgements</w:t>
      </w:r>
    </w:p>
    <w:p w:rsidR="00BE080A" w:rsidRPr="00A0217B" w:rsidRDefault="00444246" w:rsidP="00421ECE">
      <w:pPr>
        <w:pStyle w:val="BodyText1"/>
        <w:ind w:left="0" w:right="-2" w:firstLine="0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</w:rPr>
        <w:t>Your acknowledgements should be entered here.</w:t>
      </w:r>
    </w:p>
    <w:p w:rsidR="004D28EA" w:rsidRPr="00260C2C" w:rsidRDefault="002A36D3" w:rsidP="00260C2C">
      <w:pPr>
        <w:pStyle w:val="PTHeading2"/>
        <w:tabs>
          <w:tab w:val="clear" w:pos="425"/>
        </w:tabs>
        <w:rPr>
          <w:rFonts w:asciiTheme="minorHAnsi" w:hAnsiTheme="minorHAnsi" w:cstheme="minorHAnsi"/>
          <w:sz w:val="22"/>
          <w:szCs w:val="22"/>
        </w:rPr>
      </w:pPr>
      <w:r w:rsidRPr="00260C2C">
        <w:rPr>
          <w:rFonts w:asciiTheme="minorHAnsi" w:hAnsiTheme="minorHAnsi" w:cstheme="minorHAnsi"/>
          <w:sz w:val="22"/>
          <w:szCs w:val="22"/>
        </w:rPr>
        <w:t>References</w:t>
      </w:r>
    </w:p>
    <w:p w:rsidR="00754A70" w:rsidRPr="00754A70" w:rsidRDefault="00754A70" w:rsidP="007E6441">
      <w:pPr>
        <w:pStyle w:val="Default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4A70">
        <w:rPr>
          <w:rFonts w:asciiTheme="minorHAnsi" w:hAnsiTheme="minorHAnsi" w:cstheme="minorHAnsi"/>
          <w:sz w:val="22"/>
          <w:szCs w:val="22"/>
        </w:rPr>
        <w:t xml:space="preserve">A complete list of numbered </w:t>
      </w:r>
      <w:r w:rsidRPr="00754A70">
        <w:rPr>
          <w:rFonts w:asciiTheme="minorHAnsi" w:hAnsiTheme="minorHAnsi" w:cstheme="minorHAnsi"/>
          <w:b/>
          <w:bCs/>
          <w:sz w:val="22"/>
          <w:szCs w:val="22"/>
        </w:rPr>
        <w:t xml:space="preserve">references </w:t>
      </w:r>
      <w:r w:rsidRPr="00754A70">
        <w:rPr>
          <w:rFonts w:asciiTheme="minorHAnsi" w:hAnsiTheme="minorHAnsi" w:cstheme="minorHAnsi"/>
          <w:sz w:val="22"/>
          <w:szCs w:val="22"/>
        </w:rPr>
        <w:t xml:space="preserve">must be provided for all sources cited in the text, and should appear at the end of </w:t>
      </w:r>
      <w:r w:rsidR="007E6441">
        <w:rPr>
          <w:rFonts w:asciiTheme="minorHAnsi" w:hAnsiTheme="minorHAnsi" w:cstheme="minorHAnsi"/>
          <w:sz w:val="22"/>
          <w:szCs w:val="22"/>
        </w:rPr>
        <w:t>the paper</w:t>
      </w:r>
      <w:r w:rsidRPr="00754A70">
        <w:rPr>
          <w:rFonts w:asciiTheme="minorHAnsi" w:hAnsiTheme="minorHAnsi" w:cstheme="minorHAnsi"/>
          <w:sz w:val="22"/>
          <w:szCs w:val="22"/>
        </w:rPr>
        <w:t xml:space="preserve">. References are cited in the text using the NEA style (author, year in parentheses). Bibliographical entries should be provided in alphabetical order according to the authors’ surnames: </w:t>
      </w:r>
    </w:p>
    <w:p w:rsidR="00B16D26" w:rsidRDefault="00754A70" w:rsidP="00754A70">
      <w:pPr>
        <w:pStyle w:val="PTHeading3"/>
        <w:tabs>
          <w:tab w:val="clear" w:pos="567"/>
        </w:tabs>
        <w:spacing w:after="240"/>
        <w:ind w:right="-2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754A70">
        <w:rPr>
          <w:rFonts w:asciiTheme="minorHAnsi" w:hAnsiTheme="minorHAnsi" w:cstheme="minorHAnsi"/>
          <w:b w:val="0"/>
          <w:sz w:val="22"/>
          <w:szCs w:val="22"/>
        </w:rPr>
        <w:t xml:space="preserve">NEA (2015), </w:t>
      </w:r>
      <w:r w:rsidRPr="00754A70">
        <w:rPr>
          <w:rFonts w:asciiTheme="minorHAnsi" w:hAnsiTheme="minorHAnsi" w:cstheme="minorHAnsi"/>
          <w:b w:val="0"/>
          <w:i w:val="0"/>
          <w:iCs/>
          <w:sz w:val="22"/>
          <w:szCs w:val="22"/>
        </w:rPr>
        <w:t>Handbook on Lead-bismuth Eutectic Alloy and Lead Properties, Materials Compatibility, Thermal-hydraulics and Technologies</w:t>
      </w:r>
      <w:r w:rsidRPr="00754A70">
        <w:rPr>
          <w:rFonts w:asciiTheme="minorHAnsi" w:hAnsiTheme="minorHAnsi" w:cstheme="minorHAnsi"/>
          <w:b w:val="0"/>
          <w:sz w:val="22"/>
          <w:szCs w:val="22"/>
        </w:rPr>
        <w:t>, OECD, Paris.</w:t>
      </w:r>
      <w:proofErr w:type="gramEnd"/>
    </w:p>
    <w:p w:rsidR="007E6441" w:rsidRPr="00A0217B" w:rsidRDefault="007E6441" w:rsidP="007E6441">
      <w:pPr>
        <w:pStyle w:val="Biblio-Entry"/>
        <w:ind w:left="0" w:firstLine="0"/>
        <w:rPr>
          <w:rFonts w:asciiTheme="minorHAnsi" w:hAnsiTheme="minorHAnsi" w:cstheme="minorHAnsi"/>
          <w:sz w:val="22"/>
          <w:szCs w:val="22"/>
        </w:rPr>
      </w:pPr>
      <w:r w:rsidRPr="00A0217B">
        <w:rPr>
          <w:rFonts w:asciiTheme="minorHAnsi" w:hAnsiTheme="minorHAnsi" w:cstheme="minorHAnsi"/>
          <w:sz w:val="22"/>
          <w:szCs w:val="22"/>
          <w:lang w:val="es-ES"/>
        </w:rPr>
        <w:t>T. Yamashita</w:t>
      </w:r>
      <w:r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A0217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A0217B">
        <w:rPr>
          <w:rFonts w:asciiTheme="minorHAnsi" w:hAnsiTheme="minorHAnsi" w:cstheme="minorHAnsi"/>
          <w:i/>
          <w:sz w:val="22"/>
          <w:szCs w:val="22"/>
          <w:lang w:val="es-ES"/>
        </w:rPr>
        <w:t>et al.</w:t>
      </w:r>
      <w:r w:rsidRPr="00A0217B">
        <w:rPr>
          <w:rFonts w:asciiTheme="minorHAnsi" w:hAnsiTheme="minorHAnsi" w:cstheme="minorHAnsi"/>
          <w:sz w:val="22"/>
          <w:szCs w:val="22"/>
          <w:lang w:val="es-ES"/>
        </w:rPr>
        <w:t xml:space="preserve"> (2002), </w:t>
      </w:r>
      <w:r w:rsidRPr="00A0217B">
        <w:rPr>
          <w:rFonts w:asciiTheme="minorHAnsi" w:hAnsiTheme="minorHAnsi" w:cstheme="minorHAnsi"/>
          <w:sz w:val="22"/>
          <w:szCs w:val="22"/>
        </w:rPr>
        <w:t xml:space="preserve">“Rock-Like Oxide Fuels and Their Burning in LWRs”, </w:t>
      </w:r>
      <w:r w:rsidRPr="00A0217B">
        <w:rPr>
          <w:rFonts w:asciiTheme="minorHAnsi" w:hAnsiTheme="minorHAnsi" w:cstheme="minorHAnsi"/>
          <w:i/>
          <w:sz w:val="22"/>
          <w:szCs w:val="22"/>
        </w:rPr>
        <w:t>J. Nuclear Sci. Technol.</w:t>
      </w:r>
      <w:r w:rsidRPr="00A0217B">
        <w:rPr>
          <w:rFonts w:asciiTheme="minorHAnsi" w:hAnsiTheme="minorHAnsi" w:cstheme="minorHAnsi"/>
          <w:sz w:val="22"/>
          <w:szCs w:val="22"/>
        </w:rPr>
        <w:t>, 39[8], pp. 865-871.</w:t>
      </w:r>
    </w:p>
    <w:p w:rsidR="007E6441" w:rsidRPr="00A0217B" w:rsidRDefault="007E6441" w:rsidP="007E6441">
      <w:pPr>
        <w:pStyle w:val="Biblio-Entry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Ref335462451"/>
      <w:r w:rsidRPr="00A0217B">
        <w:rPr>
          <w:rFonts w:asciiTheme="minorHAnsi" w:hAnsiTheme="minorHAnsi" w:cstheme="minorHAnsi"/>
          <w:sz w:val="22"/>
          <w:szCs w:val="22"/>
        </w:rPr>
        <w:t xml:space="preserve">H. Akie, Y. Sugo, R. Okawa (2003), “Core burnup calculation and accidents analyses of a pressurized water reactor partially loaded with rock-like oxide fuel”, </w:t>
      </w:r>
      <w:r w:rsidRPr="00A0217B">
        <w:rPr>
          <w:rFonts w:asciiTheme="minorHAnsi" w:hAnsiTheme="minorHAnsi" w:cstheme="minorHAnsi"/>
          <w:i/>
          <w:sz w:val="22"/>
          <w:szCs w:val="22"/>
        </w:rPr>
        <w:t>J. Nucl. Mat.</w:t>
      </w:r>
      <w:r w:rsidRPr="00A0217B">
        <w:rPr>
          <w:rFonts w:asciiTheme="minorHAnsi" w:hAnsiTheme="minorHAnsi" w:cstheme="minorHAnsi"/>
          <w:sz w:val="22"/>
          <w:szCs w:val="22"/>
        </w:rPr>
        <w:t>, 319, pp. 166-172.</w:t>
      </w:r>
      <w:bookmarkEnd w:id="0"/>
    </w:p>
    <w:p w:rsidR="007E6441" w:rsidRPr="00A0217B" w:rsidRDefault="007E6441" w:rsidP="007E6441">
      <w:pPr>
        <w:pStyle w:val="Biblio-Entry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Ref335230906"/>
      <w:bookmarkStart w:id="2" w:name="_Ref335308976"/>
      <w:r w:rsidRPr="00A0217B">
        <w:rPr>
          <w:rFonts w:asciiTheme="minorHAnsi" w:hAnsiTheme="minorHAnsi" w:cstheme="minorHAnsi"/>
          <w:sz w:val="22"/>
          <w:szCs w:val="22"/>
        </w:rPr>
        <w:t>T. Wakabayashi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0217B">
        <w:rPr>
          <w:rFonts w:asciiTheme="minorHAnsi" w:hAnsiTheme="minorHAnsi" w:cstheme="minorHAnsi"/>
          <w:sz w:val="22"/>
          <w:szCs w:val="22"/>
        </w:rPr>
        <w:t xml:space="preserve"> </w:t>
      </w:r>
      <w:r w:rsidRPr="00A0217B">
        <w:rPr>
          <w:rFonts w:asciiTheme="minorHAnsi" w:hAnsiTheme="minorHAnsi" w:cstheme="minorHAnsi"/>
          <w:i/>
          <w:sz w:val="22"/>
          <w:szCs w:val="22"/>
        </w:rPr>
        <w:t>et al.</w:t>
      </w:r>
      <w:r w:rsidRPr="00A0217B">
        <w:rPr>
          <w:rFonts w:asciiTheme="minorHAnsi" w:hAnsiTheme="minorHAnsi" w:cstheme="minorHAnsi"/>
          <w:sz w:val="22"/>
          <w:szCs w:val="22"/>
        </w:rPr>
        <w:t xml:space="preserve"> (1997)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0217B">
        <w:rPr>
          <w:rFonts w:asciiTheme="minorHAnsi" w:hAnsiTheme="minorHAnsi" w:cstheme="minorHAnsi"/>
          <w:sz w:val="22"/>
          <w:szCs w:val="22"/>
        </w:rPr>
        <w:t xml:space="preserve"> “Feasibility studies on plutonium and minor actinide burning in fast reactors”, </w:t>
      </w:r>
      <w:r w:rsidRPr="00A0217B">
        <w:rPr>
          <w:rFonts w:asciiTheme="minorHAnsi" w:hAnsiTheme="minorHAnsi" w:cstheme="minorHAnsi"/>
          <w:i/>
          <w:sz w:val="22"/>
          <w:szCs w:val="22"/>
        </w:rPr>
        <w:t>Nucl. Technol.</w:t>
      </w:r>
      <w:r w:rsidRPr="00A0217B">
        <w:rPr>
          <w:rFonts w:asciiTheme="minorHAnsi" w:hAnsiTheme="minorHAnsi" w:cstheme="minorHAnsi"/>
          <w:sz w:val="22"/>
          <w:szCs w:val="22"/>
        </w:rPr>
        <w:t>, 118, pp. 14-25</w:t>
      </w:r>
      <w:bookmarkEnd w:id="1"/>
      <w:r w:rsidRPr="00A0217B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:rsidR="007E6441" w:rsidRPr="00754A70" w:rsidRDefault="007E6441" w:rsidP="00754A70">
      <w:pPr>
        <w:pStyle w:val="PTHeading3"/>
        <w:tabs>
          <w:tab w:val="clear" w:pos="567"/>
        </w:tabs>
        <w:spacing w:after="240"/>
        <w:ind w:right="-2"/>
        <w:rPr>
          <w:rFonts w:asciiTheme="minorHAnsi" w:hAnsiTheme="minorHAnsi" w:cstheme="minorHAnsi"/>
          <w:b w:val="0"/>
        </w:rPr>
      </w:pPr>
    </w:p>
    <w:sectPr w:rsidR="007E6441" w:rsidRPr="00754A70" w:rsidSect="00A0217B">
      <w:pgSz w:w="11906" w:h="16838" w:code="9"/>
      <w:pgMar w:top="2098" w:right="1418" w:bottom="1928" w:left="1418" w:header="153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35" w:rsidRDefault="00C25A35" w:rsidP="0018671F">
      <w:pPr>
        <w:spacing w:after="0" w:line="240" w:lineRule="auto"/>
      </w:pPr>
      <w:r>
        <w:separator/>
      </w:r>
    </w:p>
  </w:endnote>
  <w:endnote w:type="continuationSeparator" w:id="0">
    <w:p w:rsidR="00C25A35" w:rsidRDefault="00C25A35" w:rsidP="0018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ecili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35" w:rsidRDefault="00C25A35" w:rsidP="0018671F">
      <w:pPr>
        <w:spacing w:after="0" w:line="240" w:lineRule="auto"/>
      </w:pPr>
      <w:r>
        <w:separator/>
      </w:r>
    </w:p>
  </w:footnote>
  <w:footnote w:type="continuationSeparator" w:id="0">
    <w:p w:rsidR="00C25A35" w:rsidRDefault="00C25A35" w:rsidP="0018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2C" w:rsidRDefault="00260C2C" w:rsidP="00764FAF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B09"/>
    <w:multiLevelType w:val="hybridMultilevel"/>
    <w:tmpl w:val="2FA2CC62"/>
    <w:lvl w:ilvl="0" w:tplc="547EF622">
      <w:numFmt w:val="bullet"/>
      <w:pStyle w:val="ListBullet21"/>
      <w:lvlText w:val="–"/>
      <w:lvlJc w:val="left"/>
      <w:pPr>
        <w:tabs>
          <w:tab w:val="num" w:pos="992"/>
        </w:tabs>
        <w:ind w:left="992" w:hanging="283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8D4"/>
    <w:multiLevelType w:val="hybridMultilevel"/>
    <w:tmpl w:val="A4A84100"/>
    <w:lvl w:ilvl="0" w:tplc="0D5CE026">
      <w:start w:val="1"/>
      <w:numFmt w:val="bullet"/>
      <w:pStyle w:val="ListBullet1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F"/>
    <w:rsid w:val="000E3507"/>
    <w:rsid w:val="000E46C8"/>
    <w:rsid w:val="000F3BFF"/>
    <w:rsid w:val="00115B33"/>
    <w:rsid w:val="001163B6"/>
    <w:rsid w:val="00134015"/>
    <w:rsid w:val="001603F6"/>
    <w:rsid w:val="0018671F"/>
    <w:rsid w:val="00196836"/>
    <w:rsid w:val="001A4113"/>
    <w:rsid w:val="001E5BC7"/>
    <w:rsid w:val="001F5BED"/>
    <w:rsid w:val="002245A0"/>
    <w:rsid w:val="00235C9C"/>
    <w:rsid w:val="002528DA"/>
    <w:rsid w:val="00260C2C"/>
    <w:rsid w:val="002A36D3"/>
    <w:rsid w:val="002A756F"/>
    <w:rsid w:val="002C5FCD"/>
    <w:rsid w:val="002D7272"/>
    <w:rsid w:val="002D7B96"/>
    <w:rsid w:val="00304051"/>
    <w:rsid w:val="00313096"/>
    <w:rsid w:val="0032356E"/>
    <w:rsid w:val="003371B4"/>
    <w:rsid w:val="00342AA7"/>
    <w:rsid w:val="00352BFD"/>
    <w:rsid w:val="003609AF"/>
    <w:rsid w:val="003D4EC7"/>
    <w:rsid w:val="003D6D26"/>
    <w:rsid w:val="0041147C"/>
    <w:rsid w:val="004155B5"/>
    <w:rsid w:val="00421ECE"/>
    <w:rsid w:val="00444246"/>
    <w:rsid w:val="004B60F4"/>
    <w:rsid w:val="004D28EA"/>
    <w:rsid w:val="004E3F77"/>
    <w:rsid w:val="004F2CF0"/>
    <w:rsid w:val="00510F6A"/>
    <w:rsid w:val="0052712D"/>
    <w:rsid w:val="00590232"/>
    <w:rsid w:val="005B4EF0"/>
    <w:rsid w:val="005E683B"/>
    <w:rsid w:val="0060199A"/>
    <w:rsid w:val="00630DFD"/>
    <w:rsid w:val="00667D37"/>
    <w:rsid w:val="0067089C"/>
    <w:rsid w:val="00680487"/>
    <w:rsid w:val="0069334D"/>
    <w:rsid w:val="006E723C"/>
    <w:rsid w:val="00721A33"/>
    <w:rsid w:val="00731431"/>
    <w:rsid w:val="00754A70"/>
    <w:rsid w:val="00764FAF"/>
    <w:rsid w:val="00766585"/>
    <w:rsid w:val="007E4B2A"/>
    <w:rsid w:val="007E6441"/>
    <w:rsid w:val="0083531A"/>
    <w:rsid w:val="00845598"/>
    <w:rsid w:val="00851406"/>
    <w:rsid w:val="00856681"/>
    <w:rsid w:val="008B6D96"/>
    <w:rsid w:val="008C0D9C"/>
    <w:rsid w:val="008E5414"/>
    <w:rsid w:val="009241AD"/>
    <w:rsid w:val="009242FE"/>
    <w:rsid w:val="00924699"/>
    <w:rsid w:val="0092506A"/>
    <w:rsid w:val="00933935"/>
    <w:rsid w:val="00936376"/>
    <w:rsid w:val="009A0FA0"/>
    <w:rsid w:val="009D0169"/>
    <w:rsid w:val="009F571D"/>
    <w:rsid w:val="009F5E36"/>
    <w:rsid w:val="00A0217B"/>
    <w:rsid w:val="00A14BC0"/>
    <w:rsid w:val="00A16FC1"/>
    <w:rsid w:val="00A54398"/>
    <w:rsid w:val="00A726AC"/>
    <w:rsid w:val="00A96613"/>
    <w:rsid w:val="00AA1A74"/>
    <w:rsid w:val="00B16D26"/>
    <w:rsid w:val="00B27E53"/>
    <w:rsid w:val="00BE080A"/>
    <w:rsid w:val="00BE550E"/>
    <w:rsid w:val="00C130A0"/>
    <w:rsid w:val="00C25A35"/>
    <w:rsid w:val="00C55D6E"/>
    <w:rsid w:val="00C94B54"/>
    <w:rsid w:val="00CA236E"/>
    <w:rsid w:val="00CA2ADD"/>
    <w:rsid w:val="00CE7C82"/>
    <w:rsid w:val="00CF4F74"/>
    <w:rsid w:val="00CF77B1"/>
    <w:rsid w:val="00CF7F97"/>
    <w:rsid w:val="00D423F4"/>
    <w:rsid w:val="00D75D25"/>
    <w:rsid w:val="00D75F44"/>
    <w:rsid w:val="00D869DE"/>
    <w:rsid w:val="00E32A61"/>
    <w:rsid w:val="00E41E41"/>
    <w:rsid w:val="00F13ABD"/>
    <w:rsid w:val="00F929B8"/>
    <w:rsid w:val="00FB0D7A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A61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1F"/>
    <w:pPr>
      <w:keepNext/>
      <w:spacing w:before="240" w:after="240" w:line="240" w:lineRule="auto"/>
      <w:ind w:left="340" w:right="340"/>
      <w:outlineLvl w:val="1"/>
    </w:pPr>
    <w:rPr>
      <w:rFonts w:ascii="Caecilia LT Std Roman" w:eastAsia="PMingLiU" w:hAnsi="Caecilia LT Std Roman" w:cs="Times New Roman"/>
      <w:b/>
      <w:bCs/>
      <w:iCs/>
      <w:sz w:val="20"/>
      <w:szCs w:val="28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AA7"/>
    <w:pPr>
      <w:keepNext/>
      <w:spacing w:before="180" w:after="120" w:line="240" w:lineRule="auto"/>
      <w:ind w:left="340" w:right="340"/>
      <w:outlineLvl w:val="2"/>
    </w:pPr>
    <w:rPr>
      <w:rFonts w:ascii="Caecilia LT Std Roman" w:eastAsia="PMingLiU" w:hAnsi="Caecilia LT Std Roman" w:cs="Times New Roman"/>
      <w:b/>
      <w:bCs/>
      <w:i/>
      <w:sz w:val="20"/>
      <w:szCs w:val="26"/>
      <w:lang w:val="en-GB" w:eastAsia="zh-TW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55D6E"/>
    <w:pPr>
      <w:spacing w:before="120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1F"/>
    <w:rPr>
      <w:rFonts w:ascii="Caecilia LT Std Roman" w:eastAsia="PMingLiU" w:hAnsi="Caecilia LT Std Roman" w:cs="Times New Roman"/>
      <w:b/>
      <w:bCs/>
      <w:iCs/>
      <w:sz w:val="20"/>
      <w:szCs w:val="28"/>
      <w:lang w:val="en-GB" w:eastAsia="zh-TW"/>
    </w:rPr>
  </w:style>
  <w:style w:type="paragraph" w:customStyle="1" w:styleId="Biblio-Entry">
    <w:name w:val="Biblio-Entry"/>
    <w:qFormat/>
    <w:rsid w:val="0018671F"/>
    <w:pPr>
      <w:spacing w:after="120" w:line="240" w:lineRule="auto"/>
      <w:ind w:left="737" w:right="340" w:hanging="397"/>
      <w:jc w:val="both"/>
    </w:pPr>
    <w:rPr>
      <w:rFonts w:ascii="Caecilia LT Std Roman" w:eastAsia="PMingLiU" w:hAnsi="Caecilia LT Std Roman" w:cs="Arial"/>
      <w:noProof/>
      <w:spacing w:val="-4"/>
      <w:sz w:val="19"/>
      <w:szCs w:val="19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1F"/>
  </w:style>
  <w:style w:type="paragraph" w:styleId="Footer">
    <w:name w:val="footer"/>
    <w:basedOn w:val="Normal"/>
    <w:link w:val="FooterChar"/>
    <w:uiPriority w:val="99"/>
    <w:unhideWhenUsed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1F"/>
  </w:style>
  <w:style w:type="paragraph" w:customStyle="1" w:styleId="Author">
    <w:name w:val="Author"/>
    <w:basedOn w:val="Normal"/>
    <w:qFormat/>
    <w:rsid w:val="008C0D9C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E32A61"/>
    <w:rPr>
      <w:rFonts w:ascii="Caecilia LT Std Roman" w:eastAsia="Times New Roman" w:hAnsi="Caecilia LT Std Roman" w:cs="Times New Roman"/>
      <w:b/>
      <w:bCs/>
      <w:kern w:val="28"/>
      <w:sz w:val="24"/>
      <w:szCs w:val="24"/>
      <w:lang w:val="en-GB"/>
    </w:rPr>
  </w:style>
  <w:style w:type="paragraph" w:customStyle="1" w:styleId="abstracttitle">
    <w:name w:val="abstract title"/>
    <w:basedOn w:val="Normal"/>
    <w:rsid w:val="004B60F4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val="en-GB" w:eastAsia="zh-TW"/>
    </w:rPr>
  </w:style>
  <w:style w:type="paragraph" w:customStyle="1" w:styleId="Abstract">
    <w:name w:val="Abstract"/>
    <w:basedOn w:val="Heading2"/>
    <w:qFormat/>
    <w:rsid w:val="004B60F4"/>
    <w:pPr>
      <w:spacing w:before="0" w:after="120"/>
      <w:ind w:left="680" w:right="680"/>
      <w:jc w:val="both"/>
    </w:pPr>
    <w:rPr>
      <w:b w:val="0"/>
      <w:i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342AA7"/>
    <w:rPr>
      <w:rFonts w:ascii="Caecilia LT Std Roman" w:eastAsia="PMingLiU" w:hAnsi="Caecilia LT Std Roman" w:cs="Times New Roman"/>
      <w:b/>
      <w:bCs/>
      <w:i/>
      <w:sz w:val="20"/>
      <w:szCs w:val="26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C55D6E"/>
    <w:rPr>
      <w:rFonts w:ascii="Caecilia LT Std Roman" w:eastAsia="PMingLiU" w:hAnsi="Caecilia LT Std Roman" w:cs="Times New Roman"/>
      <w:bCs/>
      <w:i/>
      <w:sz w:val="20"/>
      <w:szCs w:val="26"/>
      <w:lang w:val="en-GB" w:eastAsia="zh-TW"/>
    </w:rPr>
  </w:style>
  <w:style w:type="paragraph" w:customStyle="1" w:styleId="ListBullet21">
    <w:name w:val="List Bullet 21"/>
    <w:basedOn w:val="Normal"/>
    <w:qFormat/>
    <w:rsid w:val="00C55D6E"/>
    <w:pPr>
      <w:numPr>
        <w:numId w:val="2"/>
      </w:numPr>
      <w:tabs>
        <w:tab w:val="clear" w:pos="992"/>
        <w:tab w:val="left" w:pos="567"/>
      </w:tabs>
      <w:spacing w:after="120" w:line="240" w:lineRule="auto"/>
      <w:ind w:left="1248" w:right="340" w:hanging="284"/>
      <w:jc w:val="both"/>
    </w:pPr>
    <w:rPr>
      <w:rFonts w:ascii="Caecilia LT Std Roman" w:eastAsia="PMingLiU" w:hAnsi="Caecilia LT Std Roman" w:cs="Times New Roman"/>
      <w:sz w:val="19"/>
      <w:szCs w:val="18"/>
      <w:lang w:val="en-GB" w:eastAsia="zh-TW"/>
    </w:rPr>
  </w:style>
  <w:style w:type="paragraph" w:customStyle="1" w:styleId="ListBullet1">
    <w:name w:val="List Bullet 1"/>
    <w:qFormat/>
    <w:rsid w:val="00C55D6E"/>
    <w:pPr>
      <w:numPr>
        <w:numId w:val="1"/>
      </w:numPr>
      <w:tabs>
        <w:tab w:val="clear" w:pos="1135"/>
        <w:tab w:val="num" w:pos="709"/>
      </w:tabs>
      <w:spacing w:after="120" w:line="240" w:lineRule="auto"/>
      <w:ind w:left="964" w:right="340"/>
      <w:jc w:val="both"/>
    </w:pPr>
    <w:rPr>
      <w:rFonts w:ascii="Caecilia LT Std Roman" w:eastAsia="PMingLiU" w:hAnsi="Caecilia LT Std Roman" w:cs="Times New Roman"/>
      <w:sz w:val="19"/>
      <w:szCs w:val="18"/>
      <w:lang w:val="en-GB" w:eastAsia="zh-TW"/>
    </w:rPr>
  </w:style>
  <w:style w:type="paragraph" w:customStyle="1" w:styleId="Figuretablenotesource">
    <w:name w:val="Figure/table note/source"/>
    <w:basedOn w:val="Abstract"/>
    <w:qFormat/>
    <w:rsid w:val="003D4EC7"/>
    <w:pPr>
      <w:spacing w:before="120"/>
      <w:ind w:left="340" w:right="340"/>
    </w:pPr>
    <w:rPr>
      <w:rFonts w:ascii="Arial" w:hAnsi="Arial" w:cs="Arial"/>
      <w:i w:val="0"/>
      <w:sz w:val="16"/>
      <w:szCs w:val="16"/>
    </w:rPr>
  </w:style>
  <w:style w:type="paragraph" w:customStyle="1" w:styleId="TableTitle">
    <w:name w:val="Table Title"/>
    <w:basedOn w:val="Normal"/>
    <w:rsid w:val="00764FAF"/>
    <w:pPr>
      <w:keepNext/>
      <w:spacing w:before="120" w:after="160" w:line="240" w:lineRule="auto"/>
      <w:ind w:left="340" w:right="340"/>
      <w:jc w:val="center"/>
    </w:pPr>
    <w:rPr>
      <w:rFonts w:ascii="Caecilia LT Std Roman" w:eastAsia="Times New Roman" w:hAnsi="Caecilia LT Std Roman" w:cs="Arial"/>
      <w:b/>
      <w:bCs/>
      <w:sz w:val="19"/>
      <w:szCs w:val="19"/>
      <w:lang w:val="en-GB" w:eastAsia="zh-CN"/>
    </w:rPr>
  </w:style>
  <w:style w:type="paragraph" w:customStyle="1" w:styleId="BodyText1">
    <w:name w:val="Body Text1"/>
    <w:basedOn w:val="Abstract"/>
    <w:qFormat/>
    <w:rsid w:val="00444246"/>
    <w:pPr>
      <w:ind w:left="340" w:right="340" w:firstLine="340"/>
    </w:pPr>
    <w:rPr>
      <w:i w:val="0"/>
    </w:rPr>
  </w:style>
  <w:style w:type="paragraph" w:customStyle="1" w:styleId="Cell">
    <w:name w:val="Cell"/>
    <w:basedOn w:val="Normal"/>
    <w:qFormat/>
    <w:rsid w:val="0069334D"/>
    <w:pPr>
      <w:spacing w:after="0"/>
      <w:jc w:val="center"/>
    </w:pPr>
    <w:rPr>
      <w:rFonts w:ascii="Arial Narrow" w:hAnsi="Arial Narrow"/>
      <w:bCs/>
      <w:sz w:val="18"/>
      <w:szCs w:val="18"/>
    </w:rPr>
  </w:style>
  <w:style w:type="paragraph" w:customStyle="1" w:styleId="FigureTitle">
    <w:name w:val="Figure Title"/>
    <w:qFormat/>
    <w:rsid w:val="00D423F4"/>
    <w:pPr>
      <w:spacing w:before="120" w:after="160" w:line="240" w:lineRule="auto"/>
      <w:jc w:val="center"/>
    </w:pPr>
    <w:rPr>
      <w:rFonts w:ascii="Caecilia LT Std Roman" w:eastAsia="PMingLiU" w:hAnsi="Caecilia LT Std Roman" w:cs="Arial"/>
      <w:b/>
      <w:sz w:val="19"/>
      <w:szCs w:val="19"/>
      <w:lang w:val="en-GB" w:eastAsia="zh-TW"/>
    </w:rPr>
  </w:style>
  <w:style w:type="paragraph" w:customStyle="1" w:styleId="PTBodytext">
    <w:name w:val="PT Body text"/>
    <w:qFormat/>
    <w:rsid w:val="006E723C"/>
    <w:pPr>
      <w:spacing w:after="120" w:line="240" w:lineRule="auto"/>
      <w:ind w:firstLine="425"/>
      <w:jc w:val="both"/>
    </w:pPr>
    <w:rPr>
      <w:rFonts w:ascii="Caecilia Roman" w:eastAsia="PMingLiU" w:hAnsi="Caecilia Roman" w:cs="Arial"/>
      <w:sz w:val="18"/>
      <w:szCs w:val="18"/>
      <w:lang w:val="en-GB" w:eastAsia="zh-TW"/>
    </w:rPr>
  </w:style>
  <w:style w:type="paragraph" w:customStyle="1" w:styleId="PTFiguretablenote">
    <w:name w:val="PT Figure/table note"/>
    <w:basedOn w:val="Normal"/>
    <w:qFormat/>
    <w:rsid w:val="006E723C"/>
    <w:pPr>
      <w:spacing w:before="120" w:after="120" w:line="240" w:lineRule="auto"/>
      <w:jc w:val="both"/>
    </w:pPr>
    <w:rPr>
      <w:rFonts w:ascii="Arial" w:eastAsia="PMingLiU" w:hAnsi="Arial" w:cs="Arial"/>
      <w:sz w:val="16"/>
      <w:szCs w:val="16"/>
      <w:lang w:val="en-GB" w:eastAsia="zh-TW"/>
    </w:rPr>
  </w:style>
  <w:style w:type="paragraph" w:customStyle="1" w:styleId="PTTabletext">
    <w:name w:val="PT Table text"/>
    <w:basedOn w:val="Normal"/>
    <w:qFormat/>
    <w:rsid w:val="006E723C"/>
    <w:pPr>
      <w:spacing w:after="0" w:line="240" w:lineRule="auto"/>
    </w:pPr>
    <w:rPr>
      <w:rFonts w:ascii="Arial" w:eastAsia="Times New Roman" w:hAnsi="Arial" w:cs="Arial"/>
      <w:sz w:val="17"/>
      <w:szCs w:val="17"/>
      <w:lang w:val="en-US" w:eastAsia="ja-JP"/>
    </w:rPr>
  </w:style>
  <w:style w:type="paragraph" w:customStyle="1" w:styleId="PTAuthor">
    <w:name w:val="PT Author"/>
    <w:basedOn w:val="Normal"/>
    <w:qFormat/>
    <w:rsid w:val="00CF77B1"/>
    <w:pPr>
      <w:spacing w:after="0" w:line="240" w:lineRule="auto"/>
      <w:jc w:val="center"/>
    </w:pPr>
    <w:rPr>
      <w:rFonts w:ascii="Caecilia Roman" w:eastAsia="PMingLiU" w:hAnsi="Caecilia Roman" w:cs="Arial"/>
      <w:b/>
      <w:szCs w:val="18"/>
      <w:lang w:val="en-GB" w:eastAsia="zh-TW"/>
    </w:rPr>
  </w:style>
  <w:style w:type="character" w:styleId="Hyperlink">
    <w:name w:val="Hyperlink"/>
    <w:uiPriority w:val="99"/>
    <w:unhideWhenUsed/>
    <w:rsid w:val="002D7272"/>
    <w:rPr>
      <w:rFonts w:ascii="Caecilia LT Std Roman" w:hAnsi="Caecilia LT Std Roman"/>
      <w:color w:val="0000FF"/>
      <w:u w:val="single"/>
    </w:rPr>
  </w:style>
  <w:style w:type="paragraph" w:customStyle="1" w:styleId="PTHeading2">
    <w:name w:val="PT Heading 2"/>
    <w:basedOn w:val="Normal"/>
    <w:qFormat/>
    <w:rsid w:val="002D7272"/>
    <w:pPr>
      <w:tabs>
        <w:tab w:val="left" w:pos="425"/>
      </w:tabs>
      <w:spacing w:before="240" w:after="240" w:line="240" w:lineRule="auto"/>
    </w:pPr>
    <w:rPr>
      <w:rFonts w:ascii="Arial" w:eastAsia="PMingLiU" w:hAnsi="Arial" w:cs="Arial"/>
      <w:b/>
      <w:sz w:val="20"/>
      <w:szCs w:val="20"/>
      <w:lang w:val="en-GB" w:eastAsia="zh-TW"/>
    </w:rPr>
  </w:style>
  <w:style w:type="paragraph" w:customStyle="1" w:styleId="PTHeading3">
    <w:name w:val="PT Heading 3"/>
    <w:basedOn w:val="PTHeading2"/>
    <w:qFormat/>
    <w:rsid w:val="002D7272"/>
    <w:pPr>
      <w:tabs>
        <w:tab w:val="clear" w:pos="425"/>
        <w:tab w:val="left" w:pos="567"/>
      </w:tabs>
      <w:spacing w:after="120"/>
    </w:pPr>
    <w:rPr>
      <w:i/>
    </w:rPr>
  </w:style>
  <w:style w:type="paragraph" w:customStyle="1" w:styleId="Default">
    <w:name w:val="Default"/>
    <w:rsid w:val="00754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A61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eastAsia="Times New Roman" w:hAnsi="Caecilia LT Std Roman" w:cs="Times New Roman"/>
      <w:b/>
      <w:bC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1F"/>
    <w:pPr>
      <w:keepNext/>
      <w:spacing w:before="240" w:after="240" w:line="240" w:lineRule="auto"/>
      <w:ind w:left="340" w:right="340"/>
      <w:outlineLvl w:val="1"/>
    </w:pPr>
    <w:rPr>
      <w:rFonts w:ascii="Caecilia LT Std Roman" w:eastAsia="PMingLiU" w:hAnsi="Caecilia LT Std Roman" w:cs="Times New Roman"/>
      <w:b/>
      <w:bCs/>
      <w:iCs/>
      <w:sz w:val="20"/>
      <w:szCs w:val="28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AA7"/>
    <w:pPr>
      <w:keepNext/>
      <w:spacing w:before="180" w:after="120" w:line="240" w:lineRule="auto"/>
      <w:ind w:left="340" w:right="340"/>
      <w:outlineLvl w:val="2"/>
    </w:pPr>
    <w:rPr>
      <w:rFonts w:ascii="Caecilia LT Std Roman" w:eastAsia="PMingLiU" w:hAnsi="Caecilia LT Std Roman" w:cs="Times New Roman"/>
      <w:b/>
      <w:bCs/>
      <w:i/>
      <w:sz w:val="20"/>
      <w:szCs w:val="26"/>
      <w:lang w:val="en-GB" w:eastAsia="zh-TW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55D6E"/>
    <w:pPr>
      <w:spacing w:before="120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1F"/>
    <w:rPr>
      <w:rFonts w:ascii="Caecilia LT Std Roman" w:eastAsia="PMingLiU" w:hAnsi="Caecilia LT Std Roman" w:cs="Times New Roman"/>
      <w:b/>
      <w:bCs/>
      <w:iCs/>
      <w:sz w:val="20"/>
      <w:szCs w:val="28"/>
      <w:lang w:val="en-GB" w:eastAsia="zh-TW"/>
    </w:rPr>
  </w:style>
  <w:style w:type="paragraph" w:customStyle="1" w:styleId="Biblio-Entry">
    <w:name w:val="Biblio-Entry"/>
    <w:qFormat/>
    <w:rsid w:val="0018671F"/>
    <w:pPr>
      <w:spacing w:after="120" w:line="240" w:lineRule="auto"/>
      <w:ind w:left="737" w:right="340" w:hanging="397"/>
      <w:jc w:val="both"/>
    </w:pPr>
    <w:rPr>
      <w:rFonts w:ascii="Caecilia LT Std Roman" w:eastAsia="PMingLiU" w:hAnsi="Caecilia LT Std Roman" w:cs="Arial"/>
      <w:noProof/>
      <w:spacing w:val="-4"/>
      <w:sz w:val="19"/>
      <w:szCs w:val="19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1F"/>
  </w:style>
  <w:style w:type="paragraph" w:styleId="Footer">
    <w:name w:val="footer"/>
    <w:basedOn w:val="Normal"/>
    <w:link w:val="FooterChar"/>
    <w:uiPriority w:val="99"/>
    <w:unhideWhenUsed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1F"/>
  </w:style>
  <w:style w:type="paragraph" w:customStyle="1" w:styleId="Author">
    <w:name w:val="Author"/>
    <w:basedOn w:val="Normal"/>
    <w:qFormat/>
    <w:rsid w:val="008C0D9C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E32A61"/>
    <w:rPr>
      <w:rFonts w:ascii="Caecilia LT Std Roman" w:eastAsia="Times New Roman" w:hAnsi="Caecilia LT Std Roman" w:cs="Times New Roman"/>
      <w:b/>
      <w:bCs/>
      <w:kern w:val="28"/>
      <w:sz w:val="24"/>
      <w:szCs w:val="24"/>
      <w:lang w:val="en-GB"/>
    </w:rPr>
  </w:style>
  <w:style w:type="paragraph" w:customStyle="1" w:styleId="abstracttitle">
    <w:name w:val="abstract title"/>
    <w:basedOn w:val="Normal"/>
    <w:rsid w:val="004B60F4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val="en-GB" w:eastAsia="zh-TW"/>
    </w:rPr>
  </w:style>
  <w:style w:type="paragraph" w:customStyle="1" w:styleId="Abstract">
    <w:name w:val="Abstract"/>
    <w:basedOn w:val="Heading2"/>
    <w:qFormat/>
    <w:rsid w:val="004B60F4"/>
    <w:pPr>
      <w:spacing w:before="0" w:after="120"/>
      <w:ind w:left="680" w:right="680"/>
      <w:jc w:val="both"/>
    </w:pPr>
    <w:rPr>
      <w:b w:val="0"/>
      <w:i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342AA7"/>
    <w:rPr>
      <w:rFonts w:ascii="Caecilia LT Std Roman" w:eastAsia="PMingLiU" w:hAnsi="Caecilia LT Std Roman" w:cs="Times New Roman"/>
      <w:b/>
      <w:bCs/>
      <w:i/>
      <w:sz w:val="20"/>
      <w:szCs w:val="26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C55D6E"/>
    <w:rPr>
      <w:rFonts w:ascii="Caecilia LT Std Roman" w:eastAsia="PMingLiU" w:hAnsi="Caecilia LT Std Roman" w:cs="Times New Roman"/>
      <w:bCs/>
      <w:i/>
      <w:sz w:val="20"/>
      <w:szCs w:val="26"/>
      <w:lang w:val="en-GB" w:eastAsia="zh-TW"/>
    </w:rPr>
  </w:style>
  <w:style w:type="paragraph" w:customStyle="1" w:styleId="ListBullet21">
    <w:name w:val="List Bullet 21"/>
    <w:basedOn w:val="Normal"/>
    <w:qFormat/>
    <w:rsid w:val="00C55D6E"/>
    <w:pPr>
      <w:numPr>
        <w:numId w:val="2"/>
      </w:numPr>
      <w:tabs>
        <w:tab w:val="clear" w:pos="992"/>
        <w:tab w:val="left" w:pos="567"/>
      </w:tabs>
      <w:spacing w:after="120" w:line="240" w:lineRule="auto"/>
      <w:ind w:left="1248" w:right="340" w:hanging="284"/>
      <w:jc w:val="both"/>
    </w:pPr>
    <w:rPr>
      <w:rFonts w:ascii="Caecilia LT Std Roman" w:eastAsia="PMingLiU" w:hAnsi="Caecilia LT Std Roman" w:cs="Times New Roman"/>
      <w:sz w:val="19"/>
      <w:szCs w:val="18"/>
      <w:lang w:val="en-GB" w:eastAsia="zh-TW"/>
    </w:rPr>
  </w:style>
  <w:style w:type="paragraph" w:customStyle="1" w:styleId="ListBullet1">
    <w:name w:val="List Bullet 1"/>
    <w:qFormat/>
    <w:rsid w:val="00C55D6E"/>
    <w:pPr>
      <w:numPr>
        <w:numId w:val="1"/>
      </w:numPr>
      <w:tabs>
        <w:tab w:val="clear" w:pos="1135"/>
        <w:tab w:val="num" w:pos="709"/>
      </w:tabs>
      <w:spacing w:after="120" w:line="240" w:lineRule="auto"/>
      <w:ind w:left="964" w:right="340"/>
      <w:jc w:val="both"/>
    </w:pPr>
    <w:rPr>
      <w:rFonts w:ascii="Caecilia LT Std Roman" w:eastAsia="PMingLiU" w:hAnsi="Caecilia LT Std Roman" w:cs="Times New Roman"/>
      <w:sz w:val="19"/>
      <w:szCs w:val="18"/>
      <w:lang w:val="en-GB" w:eastAsia="zh-TW"/>
    </w:rPr>
  </w:style>
  <w:style w:type="paragraph" w:customStyle="1" w:styleId="Figuretablenotesource">
    <w:name w:val="Figure/table note/source"/>
    <w:basedOn w:val="Abstract"/>
    <w:qFormat/>
    <w:rsid w:val="003D4EC7"/>
    <w:pPr>
      <w:spacing w:before="120"/>
      <w:ind w:left="340" w:right="340"/>
    </w:pPr>
    <w:rPr>
      <w:rFonts w:ascii="Arial" w:hAnsi="Arial" w:cs="Arial"/>
      <w:i w:val="0"/>
      <w:sz w:val="16"/>
      <w:szCs w:val="16"/>
    </w:rPr>
  </w:style>
  <w:style w:type="paragraph" w:customStyle="1" w:styleId="TableTitle">
    <w:name w:val="Table Title"/>
    <w:basedOn w:val="Normal"/>
    <w:rsid w:val="00764FAF"/>
    <w:pPr>
      <w:keepNext/>
      <w:spacing w:before="120" w:after="160" w:line="240" w:lineRule="auto"/>
      <w:ind w:left="340" w:right="340"/>
      <w:jc w:val="center"/>
    </w:pPr>
    <w:rPr>
      <w:rFonts w:ascii="Caecilia LT Std Roman" w:eastAsia="Times New Roman" w:hAnsi="Caecilia LT Std Roman" w:cs="Arial"/>
      <w:b/>
      <w:bCs/>
      <w:sz w:val="19"/>
      <w:szCs w:val="19"/>
      <w:lang w:val="en-GB" w:eastAsia="zh-CN"/>
    </w:rPr>
  </w:style>
  <w:style w:type="paragraph" w:customStyle="1" w:styleId="BodyText1">
    <w:name w:val="Body Text1"/>
    <w:basedOn w:val="Abstract"/>
    <w:qFormat/>
    <w:rsid w:val="00444246"/>
    <w:pPr>
      <w:ind w:left="340" w:right="340" w:firstLine="340"/>
    </w:pPr>
    <w:rPr>
      <w:i w:val="0"/>
    </w:rPr>
  </w:style>
  <w:style w:type="paragraph" w:customStyle="1" w:styleId="Cell">
    <w:name w:val="Cell"/>
    <w:basedOn w:val="Normal"/>
    <w:qFormat/>
    <w:rsid w:val="0069334D"/>
    <w:pPr>
      <w:spacing w:after="0"/>
      <w:jc w:val="center"/>
    </w:pPr>
    <w:rPr>
      <w:rFonts w:ascii="Arial Narrow" w:hAnsi="Arial Narrow"/>
      <w:bCs/>
      <w:sz w:val="18"/>
      <w:szCs w:val="18"/>
    </w:rPr>
  </w:style>
  <w:style w:type="paragraph" w:customStyle="1" w:styleId="FigureTitle">
    <w:name w:val="Figure Title"/>
    <w:qFormat/>
    <w:rsid w:val="00D423F4"/>
    <w:pPr>
      <w:spacing w:before="120" w:after="160" w:line="240" w:lineRule="auto"/>
      <w:jc w:val="center"/>
    </w:pPr>
    <w:rPr>
      <w:rFonts w:ascii="Caecilia LT Std Roman" w:eastAsia="PMingLiU" w:hAnsi="Caecilia LT Std Roman" w:cs="Arial"/>
      <w:b/>
      <w:sz w:val="19"/>
      <w:szCs w:val="19"/>
      <w:lang w:val="en-GB" w:eastAsia="zh-TW"/>
    </w:rPr>
  </w:style>
  <w:style w:type="paragraph" w:customStyle="1" w:styleId="PTBodytext">
    <w:name w:val="PT Body text"/>
    <w:qFormat/>
    <w:rsid w:val="006E723C"/>
    <w:pPr>
      <w:spacing w:after="120" w:line="240" w:lineRule="auto"/>
      <w:ind w:firstLine="425"/>
      <w:jc w:val="both"/>
    </w:pPr>
    <w:rPr>
      <w:rFonts w:ascii="Caecilia Roman" w:eastAsia="PMingLiU" w:hAnsi="Caecilia Roman" w:cs="Arial"/>
      <w:sz w:val="18"/>
      <w:szCs w:val="18"/>
      <w:lang w:val="en-GB" w:eastAsia="zh-TW"/>
    </w:rPr>
  </w:style>
  <w:style w:type="paragraph" w:customStyle="1" w:styleId="PTFiguretablenote">
    <w:name w:val="PT Figure/table note"/>
    <w:basedOn w:val="Normal"/>
    <w:qFormat/>
    <w:rsid w:val="006E723C"/>
    <w:pPr>
      <w:spacing w:before="120" w:after="120" w:line="240" w:lineRule="auto"/>
      <w:jc w:val="both"/>
    </w:pPr>
    <w:rPr>
      <w:rFonts w:ascii="Arial" w:eastAsia="PMingLiU" w:hAnsi="Arial" w:cs="Arial"/>
      <w:sz w:val="16"/>
      <w:szCs w:val="16"/>
      <w:lang w:val="en-GB" w:eastAsia="zh-TW"/>
    </w:rPr>
  </w:style>
  <w:style w:type="paragraph" w:customStyle="1" w:styleId="PTTabletext">
    <w:name w:val="PT Table text"/>
    <w:basedOn w:val="Normal"/>
    <w:qFormat/>
    <w:rsid w:val="006E723C"/>
    <w:pPr>
      <w:spacing w:after="0" w:line="240" w:lineRule="auto"/>
    </w:pPr>
    <w:rPr>
      <w:rFonts w:ascii="Arial" w:eastAsia="Times New Roman" w:hAnsi="Arial" w:cs="Arial"/>
      <w:sz w:val="17"/>
      <w:szCs w:val="17"/>
      <w:lang w:val="en-US" w:eastAsia="ja-JP"/>
    </w:rPr>
  </w:style>
  <w:style w:type="paragraph" w:customStyle="1" w:styleId="PTAuthor">
    <w:name w:val="PT Author"/>
    <w:basedOn w:val="Normal"/>
    <w:qFormat/>
    <w:rsid w:val="00CF77B1"/>
    <w:pPr>
      <w:spacing w:after="0" w:line="240" w:lineRule="auto"/>
      <w:jc w:val="center"/>
    </w:pPr>
    <w:rPr>
      <w:rFonts w:ascii="Caecilia Roman" w:eastAsia="PMingLiU" w:hAnsi="Caecilia Roman" w:cs="Arial"/>
      <w:b/>
      <w:szCs w:val="18"/>
      <w:lang w:val="en-GB" w:eastAsia="zh-TW"/>
    </w:rPr>
  </w:style>
  <w:style w:type="character" w:styleId="Hyperlink">
    <w:name w:val="Hyperlink"/>
    <w:uiPriority w:val="99"/>
    <w:unhideWhenUsed/>
    <w:rsid w:val="002D7272"/>
    <w:rPr>
      <w:rFonts w:ascii="Caecilia LT Std Roman" w:hAnsi="Caecilia LT Std Roman"/>
      <w:color w:val="0000FF"/>
      <w:u w:val="single"/>
    </w:rPr>
  </w:style>
  <w:style w:type="paragraph" w:customStyle="1" w:styleId="PTHeading2">
    <w:name w:val="PT Heading 2"/>
    <w:basedOn w:val="Normal"/>
    <w:qFormat/>
    <w:rsid w:val="002D7272"/>
    <w:pPr>
      <w:tabs>
        <w:tab w:val="left" w:pos="425"/>
      </w:tabs>
      <w:spacing w:before="240" w:after="240" w:line="240" w:lineRule="auto"/>
    </w:pPr>
    <w:rPr>
      <w:rFonts w:ascii="Arial" w:eastAsia="PMingLiU" w:hAnsi="Arial" w:cs="Arial"/>
      <w:b/>
      <w:sz w:val="20"/>
      <w:szCs w:val="20"/>
      <w:lang w:val="en-GB" w:eastAsia="zh-TW"/>
    </w:rPr>
  </w:style>
  <w:style w:type="paragraph" w:customStyle="1" w:styleId="PTHeading3">
    <w:name w:val="PT Heading 3"/>
    <w:basedOn w:val="PTHeading2"/>
    <w:qFormat/>
    <w:rsid w:val="002D7272"/>
    <w:pPr>
      <w:tabs>
        <w:tab w:val="clear" w:pos="425"/>
        <w:tab w:val="left" w:pos="567"/>
      </w:tabs>
      <w:spacing w:after="120"/>
    </w:pPr>
    <w:rPr>
      <w:i/>
    </w:rPr>
  </w:style>
  <w:style w:type="paragraph" w:customStyle="1" w:styleId="Default">
    <w:name w:val="Default"/>
    <w:rsid w:val="00754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B3B7-58A3-420D-AAEE-808C0A52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2818</Characters>
  <Application>Microsoft Office Word</Application>
  <DocSecurity>0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Stéphanie Cornet</cp:lastModifiedBy>
  <cp:revision>2</cp:revision>
  <dcterms:created xsi:type="dcterms:W3CDTF">2018-07-26T06:51:00Z</dcterms:created>
  <dcterms:modified xsi:type="dcterms:W3CDTF">2018-07-26T06:51:00Z</dcterms:modified>
</cp:coreProperties>
</file>