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Organisation for Economic Co-operation and Development</w:t>
      </w:r>
    </w:p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Nuclear Energy Agency</w:t>
      </w:r>
    </w:p>
    <w:p w:rsidR="002419BC" w:rsidRDefault="006718E7" w:rsidP="00520BA5">
      <w:pPr>
        <w:pStyle w:val="Default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WPEC</w:t>
      </w:r>
      <w:r w:rsidR="00520BA5">
        <w:rPr>
          <w:b/>
          <w:bCs/>
          <w:sz w:val="28"/>
          <w:szCs w:val="28"/>
          <w:lang w:val="en-GB"/>
        </w:rPr>
        <w:t xml:space="preserve"> 2016</w:t>
      </w:r>
      <w:r>
        <w:rPr>
          <w:b/>
          <w:bCs/>
          <w:sz w:val="28"/>
          <w:szCs w:val="28"/>
          <w:lang w:val="en-GB"/>
        </w:rPr>
        <w:t xml:space="preserve"> Meetings</w:t>
      </w:r>
    </w:p>
    <w:p w:rsidR="00520BA5" w:rsidRPr="00520BA5" w:rsidRDefault="00520BA5" w:rsidP="00520BA5">
      <w:pPr>
        <w:pStyle w:val="Default"/>
        <w:jc w:val="center"/>
        <w:rPr>
          <w:sz w:val="12"/>
          <w:szCs w:val="12"/>
          <w:lang w:val="en-GB"/>
        </w:rPr>
      </w:pPr>
    </w:p>
    <w:tbl>
      <w:tblPr>
        <w:tblpPr w:leftFromText="141" w:rightFromText="141" w:vertAnchor="text" w:horzAnchor="margin" w:tblpY="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526"/>
        <w:gridCol w:w="1984"/>
      </w:tblGrid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Pr="006718E7" w:rsidRDefault="007273F2" w:rsidP="007E5904">
            <w:pPr>
              <w:pStyle w:val="Default"/>
              <w:spacing w:before="120"/>
              <w:jc w:val="center"/>
              <w:rPr>
                <w:b/>
                <w:bCs/>
                <w:sz w:val="40"/>
                <w:szCs w:val="22"/>
                <w:lang w:val="en-GB"/>
              </w:rPr>
            </w:pPr>
            <w:r>
              <w:rPr>
                <w:b/>
                <w:bCs/>
                <w:sz w:val="40"/>
                <w:szCs w:val="22"/>
                <w:lang w:val="en-GB"/>
              </w:rPr>
              <w:t xml:space="preserve">Preliminary </w:t>
            </w:r>
            <w:r w:rsidR="008A2D77" w:rsidRPr="006718E7">
              <w:rPr>
                <w:b/>
                <w:bCs/>
                <w:sz w:val="40"/>
                <w:szCs w:val="22"/>
                <w:lang w:val="en-GB"/>
              </w:rPr>
              <w:t xml:space="preserve">Agenda </w:t>
            </w:r>
          </w:p>
          <w:p w:rsidR="008A2D77" w:rsidRDefault="006718E7" w:rsidP="007E5904">
            <w:pPr>
              <w:pStyle w:val="Default"/>
              <w:spacing w:before="120"/>
              <w:jc w:val="center"/>
              <w:rPr>
                <w:b/>
                <w:bCs/>
                <w:sz w:val="32"/>
                <w:szCs w:val="22"/>
                <w:lang w:val="en-GB"/>
              </w:rPr>
            </w:pPr>
            <w:r w:rsidRPr="006718E7">
              <w:rPr>
                <w:b/>
                <w:bCs/>
                <w:sz w:val="32"/>
                <w:szCs w:val="22"/>
                <w:lang w:val="en-GB"/>
              </w:rPr>
              <w:t>2</w:t>
            </w:r>
            <w:r w:rsidRPr="006718E7">
              <w:rPr>
                <w:b/>
                <w:bCs/>
                <w:sz w:val="32"/>
                <w:szCs w:val="22"/>
                <w:vertAlign w:val="superscript"/>
                <w:lang w:val="en-GB"/>
              </w:rPr>
              <w:t>nd</w:t>
            </w:r>
            <w:r w:rsidRPr="006718E7">
              <w:rPr>
                <w:b/>
                <w:bCs/>
                <w:sz w:val="32"/>
                <w:szCs w:val="22"/>
                <w:lang w:val="en-GB"/>
              </w:rPr>
              <w:t xml:space="preserve"> SG-41 WS </w:t>
            </w:r>
            <w:r w:rsidR="008A2D77" w:rsidRPr="007E5904">
              <w:rPr>
                <w:b/>
                <w:bCs/>
                <w:sz w:val="32"/>
                <w:szCs w:val="22"/>
                <w:lang w:val="en-GB"/>
              </w:rPr>
              <w:t xml:space="preserve"> 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8A2D77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OECD Headquarters</w:t>
            </w:r>
          </w:p>
          <w:p w:rsidR="006718E7" w:rsidRPr="003F4EF1" w:rsidRDefault="006718E7" w:rsidP="007E5904">
            <w:pPr>
              <w:pStyle w:val="Default"/>
              <w:jc w:val="center"/>
              <w:rPr>
                <w:b/>
                <w:bCs/>
                <w:szCs w:val="22"/>
              </w:rPr>
            </w:pPr>
            <w:r w:rsidRPr="003F4EF1">
              <w:rPr>
                <w:b/>
                <w:bCs/>
                <w:szCs w:val="22"/>
              </w:rPr>
              <w:t>Conference Center</w:t>
            </w:r>
          </w:p>
          <w:p w:rsidR="008A2D77" w:rsidRPr="007E5904" w:rsidRDefault="008A2D77" w:rsidP="007E5904">
            <w:pPr>
              <w:pStyle w:val="Default"/>
              <w:jc w:val="center"/>
              <w:rPr>
                <w:bCs/>
                <w:szCs w:val="22"/>
              </w:rPr>
            </w:pPr>
            <w:r w:rsidRPr="007E5904">
              <w:rPr>
                <w:bCs/>
                <w:szCs w:val="22"/>
              </w:rPr>
              <w:t>2 Rue André Pascal,</w:t>
            </w:r>
          </w:p>
          <w:p w:rsidR="008A2D77" w:rsidRPr="003F4EF1" w:rsidRDefault="008A2D77" w:rsidP="007E5904">
            <w:pPr>
              <w:pStyle w:val="Default"/>
              <w:jc w:val="center"/>
              <w:rPr>
                <w:bCs/>
                <w:szCs w:val="22"/>
                <w:lang w:val="en-GB"/>
              </w:rPr>
            </w:pPr>
            <w:r w:rsidRPr="003F4EF1">
              <w:rPr>
                <w:bCs/>
                <w:szCs w:val="22"/>
                <w:lang w:val="en-GB"/>
              </w:rPr>
              <w:t>Paris 75016</w:t>
            </w:r>
          </w:p>
          <w:p w:rsidR="008A2D77" w:rsidRPr="003F4EF1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 w:rsidRPr="003F4EF1">
              <w:rPr>
                <w:b/>
                <w:bCs/>
                <w:sz w:val="28"/>
                <w:szCs w:val="22"/>
                <w:lang w:val="en-GB"/>
              </w:rPr>
              <w:t xml:space="preserve">Room </w:t>
            </w:r>
            <w:r w:rsidR="000D0D36" w:rsidRPr="003F4EF1">
              <w:rPr>
                <w:b/>
                <w:bCs/>
                <w:sz w:val="28"/>
                <w:szCs w:val="22"/>
                <w:lang w:val="en-GB"/>
              </w:rPr>
              <w:t>C</w:t>
            </w:r>
            <w:r w:rsidRPr="003F4EF1">
              <w:rPr>
                <w:b/>
                <w:bCs/>
                <w:sz w:val="28"/>
                <w:szCs w:val="22"/>
                <w:lang w:val="en-GB"/>
              </w:rPr>
              <w:t>C 16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 w:rsidRPr="007E5904">
              <w:rPr>
                <w:bCs/>
                <w:sz w:val="28"/>
                <w:szCs w:val="22"/>
                <w:lang w:val="en-GB"/>
              </w:rPr>
              <w:t xml:space="preserve">Starting at 09:00 am  – Ending at 06:00 pm         </w:t>
            </w:r>
          </w:p>
        </w:tc>
      </w:tr>
      <w:tr w:rsidR="008A2D77" w:rsidRPr="008A2D77" w:rsidTr="003B311E">
        <w:trPr>
          <w:trHeight w:val="337"/>
        </w:trPr>
        <w:tc>
          <w:tcPr>
            <w:tcW w:w="9180" w:type="dxa"/>
            <w:gridSpan w:val="3"/>
            <w:shd w:val="clear" w:color="auto" w:fill="auto"/>
          </w:tcPr>
          <w:p w:rsidR="008A2D77" w:rsidRDefault="008A2D77" w:rsidP="007E5904">
            <w:pPr>
              <w:pStyle w:val="Default"/>
              <w:tabs>
                <w:tab w:val="left" w:pos="113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006718E7">
              <w:rPr>
                <w:rFonts w:ascii="Arial" w:hAnsi="Arial" w:cs="Arial"/>
                <w:b/>
                <w:i/>
                <w:iCs/>
                <w:sz w:val="18"/>
                <w:szCs w:val="18"/>
                <w:lang w:val="en-US" w:eastAsia="en-GB"/>
              </w:rPr>
              <w:t>Please note: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Only registered participants with a valid ID card or passport will be allowed access to OECD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premises.</w:t>
            </w:r>
          </w:p>
        </w:tc>
      </w:tr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Default="003B311E" w:rsidP="003B311E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Tuesda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y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>
              <w:rPr>
                <w:b/>
                <w:bCs/>
                <w:sz w:val="28"/>
                <w:szCs w:val="22"/>
                <w:lang w:val="en-GB"/>
              </w:rPr>
              <w:t>May 10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B311E">
            <w:pPr>
              <w:pStyle w:val="Default"/>
              <w:spacing w:before="120" w:after="120"/>
              <w:jc w:val="right"/>
              <w:rPr>
                <w:bCs/>
                <w:lang w:val="en-GB"/>
              </w:rPr>
            </w:pPr>
            <w:r w:rsidRPr="003B311E">
              <w:rPr>
                <w:bCs/>
                <w:lang w:val="en-GB"/>
              </w:rPr>
              <w:t>9:00 – 9:10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8A2D7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Welcome </w:t>
            </w:r>
          </w:p>
        </w:tc>
        <w:tc>
          <w:tcPr>
            <w:tcW w:w="1984" w:type="dxa"/>
          </w:tcPr>
          <w:p w:rsidR="008A2D77" w:rsidRPr="003B311E" w:rsidRDefault="008A2D7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H.  Harada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B311E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9:10</w:t>
            </w:r>
            <w:r w:rsidR="00520BA5" w:rsidRPr="003B311E">
              <w:rPr>
                <w:bCs/>
                <w:lang w:val="en-GB"/>
              </w:rPr>
              <w:t xml:space="preserve"> – </w:t>
            </w:r>
            <w:r w:rsidRPr="003B311E">
              <w:rPr>
                <w:bCs/>
                <w:lang w:val="en-GB"/>
              </w:rPr>
              <w:t>10:00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8A2D7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Fast neutron PGAA approach at Garching</w:t>
            </w:r>
          </w:p>
        </w:tc>
        <w:tc>
          <w:tcPr>
            <w:tcW w:w="1984" w:type="dxa"/>
          </w:tcPr>
          <w:p w:rsidR="008A2D77" w:rsidRPr="003B311E" w:rsidRDefault="008A2D7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M. Rossbach</w:t>
            </w:r>
          </w:p>
        </w:tc>
      </w:tr>
      <w:tr w:rsidR="003B311E" w:rsidRPr="008A2D77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B311E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10:00 – 11:00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lang w:val="en-GB"/>
              </w:rPr>
              <w:t>New Np-237 and Am-241 evaluation</w:t>
            </w:r>
          </w:p>
        </w:tc>
        <w:tc>
          <w:tcPr>
            <w:tcW w:w="1984" w:type="dxa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rFonts w:eastAsia="Times New Roman"/>
                <w:lang w:val="en-US"/>
              </w:rPr>
            </w:pPr>
            <w:r w:rsidRPr="003B311E">
              <w:t>O. Iwamoto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F4E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11:</w:t>
            </w:r>
            <w:r w:rsidR="003F4EF1">
              <w:rPr>
                <w:bCs/>
                <w:lang w:val="en-GB"/>
              </w:rPr>
              <w:t>0</w:t>
            </w:r>
            <w:r w:rsidRPr="003B311E">
              <w:rPr>
                <w:bCs/>
                <w:lang w:val="en-GB"/>
              </w:rPr>
              <w:t>0 – 12:</w:t>
            </w:r>
            <w:r w:rsidR="003F4EF1">
              <w:rPr>
                <w:bCs/>
                <w:lang w:val="en-GB"/>
              </w:rPr>
              <w:t>00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8A2D7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Np-237 and Am-241 JEFF evaluation</w:t>
            </w:r>
          </w:p>
        </w:tc>
        <w:tc>
          <w:tcPr>
            <w:tcW w:w="1984" w:type="dxa"/>
          </w:tcPr>
          <w:p w:rsidR="008A2D77" w:rsidRPr="003B311E" w:rsidRDefault="008A2D7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n-US"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G. Noguere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8A2D77" w:rsidRPr="00520BA5" w:rsidRDefault="008A2D77" w:rsidP="003F4E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12:</w:t>
            </w:r>
            <w:r w:rsidR="003F4EF1">
              <w:rPr>
                <w:b/>
                <w:bCs/>
                <w:lang w:val="en-GB"/>
              </w:rPr>
              <w:t>00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</w:t>
            </w:r>
            <w:r w:rsidR="003F4EF1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:</w:t>
            </w:r>
            <w:r w:rsidR="003F4EF1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1984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F4E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</w:t>
            </w:r>
            <w:r w:rsidR="003F4EF1">
              <w:rPr>
                <w:bCs/>
                <w:lang w:val="en-GB"/>
              </w:rPr>
              <w:t>3</w:t>
            </w:r>
            <w:r w:rsidRPr="003B311E">
              <w:rPr>
                <w:bCs/>
                <w:lang w:val="en-GB"/>
              </w:rPr>
              <w:t>:</w:t>
            </w:r>
            <w:r w:rsidR="003F4EF1">
              <w:rPr>
                <w:bCs/>
                <w:lang w:val="en-GB"/>
              </w:rPr>
              <w:t>3</w:t>
            </w:r>
            <w:r w:rsidRPr="003B311E">
              <w:rPr>
                <w:bCs/>
                <w:lang w:val="en-GB"/>
              </w:rPr>
              <w:t>0 – 14:</w:t>
            </w:r>
            <w:r w:rsidR="003F4EF1">
              <w:rPr>
                <w:bCs/>
                <w:lang w:val="en-GB"/>
              </w:rPr>
              <w:t>2</w:t>
            </w:r>
            <w:r w:rsidR="003B311E" w:rsidRPr="003B311E">
              <w:rPr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3B311E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Recent Am-241 measurement with cold neutrons</w:t>
            </w:r>
          </w:p>
        </w:tc>
        <w:tc>
          <w:tcPr>
            <w:tcW w:w="1984" w:type="dxa"/>
          </w:tcPr>
          <w:p w:rsidR="008A2D77" w:rsidRPr="003B311E" w:rsidRDefault="003B311E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C. Genreith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F4E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14:</w:t>
            </w:r>
            <w:r w:rsidR="003F4EF1">
              <w:rPr>
                <w:bCs/>
                <w:lang w:val="en-GB"/>
              </w:rPr>
              <w:t>2</w:t>
            </w:r>
            <w:r w:rsidR="003B311E">
              <w:rPr>
                <w:bCs/>
                <w:lang w:val="en-GB"/>
              </w:rPr>
              <w:t>0</w:t>
            </w:r>
            <w:r w:rsidRPr="003B311E">
              <w:rPr>
                <w:bCs/>
                <w:lang w:val="en-GB"/>
              </w:rPr>
              <w:t xml:space="preserve"> – 1</w:t>
            </w:r>
            <w:r w:rsidR="003B311E" w:rsidRPr="003B311E">
              <w:rPr>
                <w:bCs/>
                <w:lang w:val="en-GB"/>
              </w:rPr>
              <w:t>5</w:t>
            </w:r>
            <w:r w:rsidRPr="003B311E">
              <w:rPr>
                <w:bCs/>
                <w:lang w:val="en-GB"/>
              </w:rPr>
              <w:t>:</w:t>
            </w:r>
            <w:r w:rsidR="003F4EF1">
              <w:rPr>
                <w:bCs/>
                <w:lang w:val="en-GB"/>
              </w:rPr>
              <w:t>1</w:t>
            </w:r>
            <w:r w:rsidRPr="003B311E">
              <w:rPr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3B311E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Capture measurement of Am-241 in MINERVE</w:t>
            </w:r>
          </w:p>
        </w:tc>
        <w:tc>
          <w:tcPr>
            <w:tcW w:w="1984" w:type="dxa"/>
          </w:tcPr>
          <w:p w:rsidR="008A2D77" w:rsidRPr="003B311E" w:rsidRDefault="003B311E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P. Leconte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E7E6E6"/>
          </w:tcPr>
          <w:p w:rsidR="008A2D77" w:rsidRPr="00520BA5" w:rsidRDefault="008A2D77" w:rsidP="003F4E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15:</w:t>
            </w:r>
            <w:r w:rsidR="003F4EF1">
              <w:rPr>
                <w:b/>
                <w:bCs/>
                <w:lang w:val="en-GB"/>
              </w:rPr>
              <w:t>1</w:t>
            </w:r>
            <w:r w:rsidRPr="00520BA5">
              <w:rPr>
                <w:b/>
                <w:bCs/>
                <w:lang w:val="en-GB"/>
              </w:rPr>
              <w:t>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</w:t>
            </w:r>
            <w:r w:rsidR="003F4EF1">
              <w:rPr>
                <w:b/>
                <w:bCs/>
                <w:lang w:val="en-GB"/>
              </w:rPr>
              <w:t>5</w:t>
            </w:r>
            <w:r w:rsidRPr="00520BA5">
              <w:rPr>
                <w:b/>
                <w:bCs/>
                <w:lang w:val="en-GB"/>
              </w:rPr>
              <w:t>:</w:t>
            </w:r>
            <w:r w:rsidR="003F4EF1">
              <w:rPr>
                <w:b/>
                <w:bCs/>
                <w:lang w:val="en-GB"/>
              </w:rPr>
              <w:t>2</w:t>
            </w:r>
            <w:r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1984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3B311E" w:rsidRPr="003B311E" w:rsidRDefault="003B311E" w:rsidP="003F4EF1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</w:t>
            </w:r>
            <w:r w:rsidR="003F4EF1">
              <w:rPr>
                <w:rFonts w:ascii="Times New Roman" w:hAnsi="Times New Roman"/>
                <w:sz w:val="24"/>
                <w:szCs w:val="24"/>
              </w:rPr>
              <w:t>5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:</w:t>
            </w:r>
            <w:r w:rsidR="003F4EF1">
              <w:rPr>
                <w:rFonts w:ascii="Times New Roman" w:hAnsi="Times New Roman"/>
                <w:sz w:val="24"/>
                <w:szCs w:val="24"/>
              </w:rPr>
              <w:t>2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0</w:t>
            </w:r>
            <w:r w:rsidR="00520BA5"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16:</w:t>
            </w:r>
            <w:r w:rsidR="003F4EF1">
              <w:rPr>
                <w:rFonts w:ascii="Times New Roman" w:hAnsi="Times New Roman"/>
                <w:sz w:val="24"/>
                <w:szCs w:val="24"/>
              </w:rPr>
              <w:t>1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3B311E" w:rsidRPr="003B311E" w:rsidRDefault="003B311E" w:rsidP="003B311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 xml:space="preserve">Systematic study on reactor spectrum averaged data </w:t>
            </w:r>
          </w:p>
        </w:tc>
        <w:tc>
          <w:tcPr>
            <w:tcW w:w="1984" w:type="dxa"/>
          </w:tcPr>
          <w:p w:rsidR="003B311E" w:rsidRPr="003B311E" w:rsidRDefault="003B311E" w:rsidP="003B311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G. Žerovnik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3B311E" w:rsidRPr="003B311E" w:rsidRDefault="003B311E" w:rsidP="003F4EF1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16:</w:t>
            </w:r>
            <w:r w:rsidR="003F4EF1">
              <w:rPr>
                <w:rFonts w:ascii="Times New Roman" w:hAnsi="Times New Roman"/>
                <w:sz w:val="24"/>
                <w:szCs w:val="24"/>
              </w:rPr>
              <w:t>1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0</w:t>
            </w:r>
            <w:r w:rsidR="00520BA5"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17:</w:t>
            </w:r>
            <w:r w:rsidR="003F4E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6" w:type="dxa"/>
            <w:shd w:val="clear" w:color="auto" w:fill="auto"/>
          </w:tcPr>
          <w:p w:rsidR="003B311E" w:rsidRPr="003B311E" w:rsidRDefault="003B311E" w:rsidP="003B311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On reactor spectrum calculations at KUR</w:t>
            </w:r>
          </w:p>
        </w:tc>
        <w:tc>
          <w:tcPr>
            <w:tcW w:w="1984" w:type="dxa"/>
          </w:tcPr>
          <w:p w:rsidR="003B311E" w:rsidRPr="003B311E" w:rsidRDefault="003B311E" w:rsidP="003B311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T.Sano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3B311E" w:rsidRPr="003B311E" w:rsidRDefault="003B311E" w:rsidP="003F4EF1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17:</w:t>
            </w:r>
            <w:r w:rsidR="003F4EF1">
              <w:rPr>
                <w:rFonts w:ascii="Times New Roman" w:hAnsi="Times New Roman"/>
                <w:sz w:val="24"/>
                <w:szCs w:val="24"/>
              </w:rPr>
              <w:t>00</w:t>
            </w:r>
            <w:r w:rsidR="00520BA5"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5526" w:type="dxa"/>
            <w:shd w:val="clear" w:color="auto" w:fill="auto"/>
          </w:tcPr>
          <w:p w:rsidR="003B311E" w:rsidRPr="003B311E" w:rsidRDefault="003B311E" w:rsidP="003B311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Discussions</w:t>
            </w:r>
          </w:p>
        </w:tc>
        <w:tc>
          <w:tcPr>
            <w:tcW w:w="1984" w:type="dxa"/>
          </w:tcPr>
          <w:p w:rsidR="003B311E" w:rsidRPr="003B311E" w:rsidRDefault="003B311E" w:rsidP="003B311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All</w:t>
            </w:r>
          </w:p>
        </w:tc>
      </w:tr>
    </w:tbl>
    <w:p w:rsidR="006718E7" w:rsidRDefault="006718E7"/>
    <w:p w:rsidR="006718E7" w:rsidRDefault="006718E7">
      <w:pPr>
        <w:spacing w:after="0" w:line="240" w:lineRule="auto"/>
      </w:pPr>
      <w:r>
        <w:br w:type="page"/>
      </w:r>
    </w:p>
    <w:p w:rsidR="00290C83" w:rsidRDefault="00290C83"/>
    <w:tbl>
      <w:tblPr>
        <w:tblpPr w:leftFromText="141" w:rightFromText="141" w:vertAnchor="text" w:horzAnchor="margin" w:tblpY="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526"/>
        <w:gridCol w:w="1984"/>
      </w:tblGrid>
      <w:tr w:rsidR="00FE75F1" w:rsidTr="00F9196D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FE75F1" w:rsidRDefault="00FE75F1" w:rsidP="00FE75F1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Wednesday</w:t>
            </w:r>
            <w:r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>
              <w:rPr>
                <w:b/>
                <w:bCs/>
                <w:sz w:val="28"/>
                <w:szCs w:val="22"/>
                <w:lang w:val="en-GB"/>
              </w:rPr>
              <w:t>May 11</w:t>
            </w:r>
            <w:r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FE75F1" w:rsidRPr="003B311E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FE75F1" w:rsidRPr="00CB6539" w:rsidRDefault="00FE75F1" w:rsidP="00FE75F1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CB6539">
              <w:rPr>
                <w:noProof/>
                <w:color w:val="auto"/>
                <w:lang w:val="en-GB" w:eastAsia="zh-TW"/>
              </w:rPr>
              <w:t>9:00 – 10:00</w:t>
            </w:r>
          </w:p>
        </w:tc>
        <w:tc>
          <w:tcPr>
            <w:tcW w:w="5526" w:type="dxa"/>
            <w:shd w:val="clear" w:color="auto" w:fill="auto"/>
          </w:tcPr>
          <w:p w:rsidR="00FE75F1" w:rsidRPr="00CB6539" w:rsidRDefault="00FE75F1" w:rsidP="00520BA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539">
              <w:rPr>
                <w:rFonts w:ascii="Times New Roman" w:hAnsi="Times New Roman" w:hint="eastAsia"/>
                <w:sz w:val="24"/>
                <w:szCs w:val="24"/>
              </w:rPr>
              <w:t>C</w:t>
            </w:r>
            <w:r w:rsidRPr="00CB6539">
              <w:rPr>
                <w:rFonts w:ascii="Times New Roman" w:hAnsi="Times New Roman"/>
                <w:sz w:val="24"/>
                <w:szCs w:val="24"/>
              </w:rPr>
              <w:t>apture measurement of Am</w:t>
            </w:r>
            <w:r w:rsidRPr="00CB6539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CB6539">
              <w:rPr>
                <w:rFonts w:ascii="Times New Roman" w:hAnsi="Times New Roman"/>
                <w:sz w:val="24"/>
                <w:szCs w:val="24"/>
              </w:rPr>
              <w:t xml:space="preserve">241 in </w:t>
            </w:r>
            <w:r w:rsidRPr="00CB6539">
              <w:rPr>
                <w:rFonts w:ascii="Times New Roman" w:hAnsi="Times New Roman" w:hint="eastAsia"/>
                <w:sz w:val="24"/>
                <w:szCs w:val="24"/>
              </w:rPr>
              <w:t>n_TOF</w:t>
            </w:r>
          </w:p>
        </w:tc>
        <w:tc>
          <w:tcPr>
            <w:tcW w:w="1984" w:type="dxa"/>
          </w:tcPr>
          <w:p w:rsidR="00FE75F1" w:rsidRPr="00CB6539" w:rsidRDefault="00FE75F1" w:rsidP="00520BA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539">
              <w:rPr>
                <w:rFonts w:ascii="Times New Roman" w:hAnsi="Times New Roman" w:hint="eastAsia"/>
                <w:sz w:val="24"/>
                <w:szCs w:val="24"/>
              </w:rPr>
              <w:t>D. Cano Ott</w:t>
            </w:r>
          </w:p>
        </w:tc>
      </w:tr>
      <w:tr w:rsidR="00FE75F1" w:rsidRPr="003B311E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FE75F1" w:rsidRPr="00CB6539" w:rsidRDefault="00FE75F1" w:rsidP="00FE75F1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CB6539">
              <w:rPr>
                <w:noProof/>
                <w:color w:val="auto"/>
                <w:lang w:val="en-GB" w:eastAsia="zh-TW"/>
              </w:rPr>
              <w:t>10:00 – 11:00</w:t>
            </w:r>
          </w:p>
        </w:tc>
        <w:tc>
          <w:tcPr>
            <w:tcW w:w="5526" w:type="dxa"/>
            <w:shd w:val="clear" w:color="auto" w:fill="auto"/>
          </w:tcPr>
          <w:p w:rsidR="00FE75F1" w:rsidRPr="00CB6539" w:rsidRDefault="00FE75F1" w:rsidP="00520BA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539">
              <w:rPr>
                <w:rFonts w:ascii="Times New Roman" w:hAnsi="Times New Roman" w:hint="eastAsia"/>
                <w:sz w:val="24"/>
                <w:szCs w:val="24"/>
              </w:rPr>
              <w:t>Re-analysis of DANCE data (tentative)</w:t>
            </w:r>
          </w:p>
        </w:tc>
        <w:tc>
          <w:tcPr>
            <w:tcW w:w="1984" w:type="dxa"/>
          </w:tcPr>
          <w:p w:rsidR="00FE75F1" w:rsidRPr="00CB6539" w:rsidRDefault="00FE75F1" w:rsidP="00520BA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539">
              <w:rPr>
                <w:rFonts w:ascii="Times New Roman" w:hAnsi="Times New Roman" w:hint="eastAsia"/>
                <w:sz w:val="24"/>
                <w:szCs w:val="24"/>
              </w:rPr>
              <w:t>M. Jandel</w:t>
            </w:r>
          </w:p>
        </w:tc>
      </w:tr>
      <w:tr w:rsidR="00FE75F1" w:rsidRPr="003B311E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FE75F1" w:rsidRPr="00520BA5" w:rsidRDefault="00FE75F1" w:rsidP="003F4E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11:00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11:</w:t>
            </w:r>
            <w:r w:rsidR="003F4EF1">
              <w:rPr>
                <w:b/>
                <w:bCs/>
                <w:lang w:val="en-GB"/>
              </w:rPr>
              <w:t>10</w:t>
            </w:r>
          </w:p>
        </w:tc>
        <w:tc>
          <w:tcPr>
            <w:tcW w:w="5526" w:type="dxa"/>
            <w:shd w:val="clear" w:color="auto" w:fill="D9D9D9"/>
          </w:tcPr>
          <w:p w:rsidR="00FE75F1" w:rsidRPr="00520BA5" w:rsidRDefault="00FE75F1" w:rsidP="00F9196D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1984" w:type="dxa"/>
            <w:shd w:val="clear" w:color="auto" w:fill="D9D9D9"/>
          </w:tcPr>
          <w:p w:rsidR="00FE75F1" w:rsidRPr="003B311E" w:rsidRDefault="00FE75F1" w:rsidP="00F9196D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FE75F1" w:rsidRPr="003B311E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FE75F1" w:rsidRPr="00FE75F1" w:rsidRDefault="00FE75F1" w:rsidP="003F4EF1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11:</w:t>
            </w:r>
            <w:r w:rsidR="003F4EF1">
              <w:rPr>
                <w:noProof/>
                <w:color w:val="auto"/>
                <w:lang w:val="en-GB" w:eastAsia="zh-TW"/>
              </w:rPr>
              <w:t>10</w:t>
            </w:r>
            <w:r w:rsidRPr="00FE75F1">
              <w:rPr>
                <w:noProof/>
                <w:color w:val="auto"/>
                <w:lang w:val="en-GB" w:eastAsia="zh-TW"/>
              </w:rPr>
              <w:t xml:space="preserve"> – 12:</w:t>
            </w:r>
            <w:r w:rsidR="003F4EF1"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5526" w:type="dxa"/>
            <w:shd w:val="clear" w:color="auto" w:fill="auto"/>
          </w:tcPr>
          <w:p w:rsidR="00FE75F1" w:rsidRPr="00FE75F1" w:rsidRDefault="00FE75F1" w:rsidP="00F919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5F1">
              <w:rPr>
                <w:rFonts w:ascii="Times New Roman" w:hAnsi="Times New Roman" w:hint="eastAsia"/>
                <w:sz w:val="24"/>
                <w:szCs w:val="24"/>
              </w:rPr>
              <w:t>Overview of energy dependent data</w:t>
            </w:r>
          </w:p>
        </w:tc>
        <w:tc>
          <w:tcPr>
            <w:tcW w:w="1984" w:type="dxa"/>
          </w:tcPr>
          <w:p w:rsidR="00FE75F1" w:rsidRPr="00FE75F1" w:rsidRDefault="00FE75F1" w:rsidP="00F919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5F1">
              <w:rPr>
                <w:rFonts w:ascii="Times New Roman" w:hAnsi="Times New Roman" w:hint="eastAsia"/>
                <w:sz w:val="24"/>
                <w:szCs w:val="24"/>
              </w:rPr>
              <w:t>P. Schillebeeckx</w:t>
            </w:r>
          </w:p>
        </w:tc>
      </w:tr>
      <w:tr w:rsidR="00FE75F1" w:rsidRPr="003B311E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FE75F1" w:rsidRPr="00520BA5" w:rsidRDefault="00FE75F1" w:rsidP="003F4E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12:</w:t>
            </w:r>
            <w:r w:rsidR="003F4EF1">
              <w:rPr>
                <w:b/>
                <w:bCs/>
                <w:lang w:val="en-GB"/>
              </w:rPr>
              <w:t>00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13:</w:t>
            </w:r>
            <w:r w:rsidR="003F4EF1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D9D9D9"/>
          </w:tcPr>
          <w:p w:rsidR="00FE75F1" w:rsidRPr="003B311E" w:rsidRDefault="00FE75F1" w:rsidP="00F9196D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1984" w:type="dxa"/>
            <w:shd w:val="clear" w:color="auto" w:fill="D9D9D9"/>
          </w:tcPr>
          <w:p w:rsidR="00FE75F1" w:rsidRPr="003B311E" w:rsidRDefault="00FE75F1" w:rsidP="00F9196D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FE75F1" w:rsidRPr="003B311E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FE75F1" w:rsidRPr="00890A61" w:rsidRDefault="00FE75F1" w:rsidP="006821FF">
            <w:pPr>
              <w:pStyle w:val="Default"/>
              <w:spacing w:before="120" w:after="120"/>
              <w:jc w:val="right"/>
              <w:rPr>
                <w:noProof/>
                <w:color w:val="000000" w:themeColor="text1"/>
                <w:lang w:val="en-GB" w:eastAsia="zh-TW"/>
              </w:rPr>
            </w:pPr>
            <w:r w:rsidRPr="00890A61">
              <w:rPr>
                <w:noProof/>
                <w:color w:val="000000" w:themeColor="text1"/>
                <w:lang w:val="en-GB" w:eastAsia="zh-TW"/>
              </w:rPr>
              <w:t>13:</w:t>
            </w:r>
            <w:r w:rsidR="003F4EF1" w:rsidRPr="00890A61">
              <w:rPr>
                <w:noProof/>
                <w:color w:val="000000" w:themeColor="text1"/>
                <w:lang w:val="en-GB" w:eastAsia="zh-TW"/>
              </w:rPr>
              <w:t>3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0 – 1</w:t>
            </w:r>
            <w:r w:rsidR="00870359" w:rsidRPr="00890A61">
              <w:rPr>
                <w:rFonts w:eastAsiaTheme="minorEastAsia" w:hint="eastAsia"/>
                <w:noProof/>
                <w:color w:val="000000" w:themeColor="text1"/>
                <w:lang w:val="en-GB" w:eastAsia="ja-JP"/>
              </w:rPr>
              <w:t>4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:</w:t>
            </w:r>
            <w:r w:rsidR="006821FF">
              <w:rPr>
                <w:rFonts w:eastAsiaTheme="minorEastAsia"/>
                <w:noProof/>
                <w:color w:val="000000" w:themeColor="text1"/>
                <w:lang w:val="en-GB" w:eastAsia="ja-JP"/>
              </w:rPr>
              <w:t>4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FE75F1" w:rsidRPr="00890A61" w:rsidRDefault="00FE75F1" w:rsidP="00F9196D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0A6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Discussions on equations used to deduce cross </w:t>
            </w:r>
            <w:r w:rsidRPr="00890A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sections</w:t>
            </w:r>
          </w:p>
        </w:tc>
        <w:tc>
          <w:tcPr>
            <w:tcW w:w="1984" w:type="dxa"/>
          </w:tcPr>
          <w:p w:rsidR="00FE75F1" w:rsidRPr="00FE75F1" w:rsidRDefault="00FE75F1" w:rsidP="00F919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5F1">
              <w:rPr>
                <w:rFonts w:ascii="Times New Roman" w:hAnsi="Times New Roman" w:hint="eastAsia"/>
                <w:sz w:val="24"/>
                <w:szCs w:val="24"/>
              </w:rPr>
              <w:t>H. Harada + P. Schillebeeckx</w:t>
            </w:r>
          </w:p>
        </w:tc>
      </w:tr>
      <w:tr w:rsidR="00870359" w:rsidRPr="003B311E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70359" w:rsidRPr="00890A61" w:rsidRDefault="00870359" w:rsidP="006821FF">
            <w:pPr>
              <w:pStyle w:val="Default"/>
              <w:spacing w:before="120" w:after="120"/>
              <w:jc w:val="right"/>
              <w:rPr>
                <w:b/>
                <w:bCs/>
                <w:color w:val="000000" w:themeColor="text1"/>
                <w:lang w:val="en-GB"/>
              </w:rPr>
            </w:pPr>
            <w:r w:rsidRPr="00890A61">
              <w:rPr>
                <w:noProof/>
                <w:color w:val="000000" w:themeColor="text1"/>
                <w:lang w:val="en-GB" w:eastAsia="zh-TW"/>
              </w:rPr>
              <w:t>1</w:t>
            </w:r>
            <w:r w:rsidRPr="00890A61">
              <w:rPr>
                <w:rFonts w:eastAsiaTheme="minorEastAsia"/>
                <w:noProof/>
                <w:color w:val="000000" w:themeColor="text1"/>
                <w:lang w:val="en-GB" w:eastAsia="ja-JP"/>
              </w:rPr>
              <w:t>4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:</w:t>
            </w:r>
            <w:r w:rsidR="006821FF">
              <w:rPr>
                <w:rFonts w:eastAsiaTheme="minorEastAsia"/>
                <w:noProof/>
                <w:color w:val="000000" w:themeColor="text1"/>
                <w:lang w:val="en-GB" w:eastAsia="ja-JP"/>
              </w:rPr>
              <w:t>4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0</w:t>
            </w:r>
            <w:r w:rsidRPr="00890A61">
              <w:rPr>
                <w:bCs/>
                <w:color w:val="000000" w:themeColor="text1"/>
                <w:lang w:val="en-GB"/>
              </w:rPr>
              <w:t xml:space="preserve"> – 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1</w:t>
            </w:r>
            <w:r w:rsidRPr="00890A61">
              <w:rPr>
                <w:rFonts w:eastAsiaTheme="minorEastAsia"/>
                <w:noProof/>
                <w:color w:val="000000" w:themeColor="text1"/>
                <w:lang w:val="en-GB" w:eastAsia="ja-JP"/>
              </w:rPr>
              <w:t>5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:</w:t>
            </w:r>
            <w:r w:rsidR="00890A61" w:rsidRPr="00890A61">
              <w:rPr>
                <w:noProof/>
                <w:color w:val="000000" w:themeColor="text1"/>
                <w:lang w:val="en-GB" w:eastAsia="zh-TW"/>
              </w:rPr>
              <w:t>20</w:t>
            </w:r>
          </w:p>
        </w:tc>
        <w:tc>
          <w:tcPr>
            <w:tcW w:w="5526" w:type="dxa"/>
            <w:shd w:val="clear" w:color="auto" w:fill="auto"/>
          </w:tcPr>
          <w:p w:rsidR="00870359" w:rsidRDefault="00870359" w:rsidP="00CA4862">
            <w:pPr>
              <w:pStyle w:val="Default"/>
              <w:spacing w:before="120" w:after="120"/>
              <w:rPr>
                <w:rFonts w:eastAsiaTheme="minorEastAsia"/>
                <w:color w:val="000000" w:themeColor="text1"/>
                <w:lang w:val="en-GB" w:eastAsia="ja-JP"/>
              </w:rPr>
            </w:pPr>
            <w:r w:rsidRPr="00CA4862">
              <w:rPr>
                <w:rFonts w:eastAsiaTheme="minorEastAsia"/>
                <w:color w:val="000000" w:themeColor="text1"/>
                <w:lang w:val="en-GB" w:eastAsia="ja-JP"/>
              </w:rPr>
              <w:t>F</w:t>
            </w:r>
            <w:r w:rsidRPr="00CA4862">
              <w:rPr>
                <w:color w:val="000000" w:themeColor="text1"/>
                <w:lang w:val="en-GB"/>
              </w:rPr>
              <w:t xml:space="preserve">eedback from </w:t>
            </w:r>
            <w:r w:rsidR="00CA4862" w:rsidRPr="00CA4862">
              <w:rPr>
                <w:color w:val="000000" w:themeColor="text1"/>
                <w:lang w:val="en-GB"/>
              </w:rPr>
              <w:t>EGIEMAM</w:t>
            </w:r>
            <w:r w:rsidR="00CA4862" w:rsidRPr="00CA4862">
              <w:rPr>
                <w:rFonts w:eastAsiaTheme="minorEastAsia"/>
                <w:color w:val="000000" w:themeColor="text1"/>
                <w:lang w:val="en-GB" w:eastAsia="ja-JP"/>
              </w:rPr>
              <w:t>-II (</w:t>
            </w:r>
            <w:r w:rsidR="00CA4862" w:rsidRPr="00CA4862">
              <w:rPr>
                <w:lang w:val="en-GB"/>
              </w:rPr>
              <w:t xml:space="preserve"> </w:t>
            </w:r>
            <w:r w:rsidR="00CA4862" w:rsidRPr="00CA4862">
              <w:rPr>
                <w:rFonts w:eastAsiaTheme="minorEastAsia"/>
                <w:color w:val="000000" w:themeColor="text1"/>
                <w:lang w:val="en-GB" w:eastAsia="ja-JP"/>
              </w:rPr>
              <w:t>E</w:t>
            </w:r>
            <w:r w:rsidR="00CA4862">
              <w:rPr>
                <w:rFonts w:eastAsiaTheme="minorEastAsia"/>
                <w:color w:val="000000" w:themeColor="text1"/>
                <w:lang w:val="en-GB" w:eastAsia="ja-JP"/>
              </w:rPr>
              <w:t>xpert Group on Improvement of Integral Experiments Data for Minor Actinide Management</w:t>
            </w:r>
            <w:r w:rsidR="00CA4862" w:rsidRPr="00CA4862">
              <w:rPr>
                <w:rFonts w:eastAsiaTheme="minorEastAsia"/>
                <w:color w:val="000000" w:themeColor="text1"/>
                <w:lang w:val="en-GB" w:eastAsia="ja-JP"/>
              </w:rPr>
              <w:t>)</w:t>
            </w:r>
            <w:r w:rsidR="003E6CE2">
              <w:rPr>
                <w:rFonts w:eastAsiaTheme="minorEastAsia"/>
                <w:color w:val="000000" w:themeColor="text1"/>
                <w:lang w:val="en-GB" w:eastAsia="ja-JP"/>
              </w:rPr>
              <w:t>:</w:t>
            </w:r>
          </w:p>
          <w:p w:rsidR="003E6CE2" w:rsidRPr="00886E95" w:rsidRDefault="00886E95" w:rsidP="00886E95">
            <w:pPr>
              <w:pStyle w:val="Default"/>
              <w:spacing w:before="120" w:after="120"/>
              <w:rPr>
                <w:rFonts w:eastAsiaTheme="minorEastAsia"/>
                <w:bCs/>
                <w:color w:val="000000" w:themeColor="text1"/>
                <w:lang w:val="en-GB" w:eastAsia="ja-JP"/>
              </w:rPr>
            </w:pPr>
            <w:r>
              <w:rPr>
                <w:rFonts w:eastAsiaTheme="minorEastAsia"/>
                <w:bCs/>
                <w:color w:val="000000" w:themeColor="text1"/>
                <w:lang w:val="en-GB" w:eastAsia="ja-JP"/>
              </w:rPr>
              <w:t>“</w:t>
            </w:r>
            <w:r w:rsidR="003E6CE2" w:rsidRPr="00886E95">
              <w:rPr>
                <w:rFonts w:eastAsiaTheme="minorEastAsia"/>
                <w:bCs/>
                <w:color w:val="000000" w:themeColor="text1"/>
                <w:lang w:val="en-GB" w:eastAsia="ja-JP"/>
              </w:rPr>
              <w:t>Summary of FCA-IX cores benchmark</w:t>
            </w:r>
            <w:r>
              <w:rPr>
                <w:rFonts w:eastAsiaTheme="minorEastAsia"/>
                <w:bCs/>
                <w:color w:val="000000" w:themeColor="text1"/>
                <w:lang w:val="en-GB" w:eastAsia="ja-JP"/>
              </w:rPr>
              <w:t>”</w:t>
            </w:r>
            <w:r w:rsidR="003E6CE2" w:rsidRPr="00886E95">
              <w:rPr>
                <w:rFonts w:eastAsiaTheme="minorEastAsia"/>
                <w:bCs/>
                <w:color w:val="000000" w:themeColor="text1"/>
                <w:lang w:val="en-GB" w:eastAsia="ja-JP"/>
              </w:rPr>
              <w:t xml:space="preserve"> by K. </w:t>
            </w:r>
            <w:proofErr w:type="spellStart"/>
            <w:r w:rsidR="003E6CE2" w:rsidRPr="00886E95">
              <w:rPr>
                <w:rFonts w:eastAsiaTheme="minorEastAsia"/>
                <w:bCs/>
                <w:color w:val="000000" w:themeColor="text1"/>
                <w:lang w:val="en-GB" w:eastAsia="ja-JP"/>
              </w:rPr>
              <w:t>Tusjimoto</w:t>
            </w:r>
            <w:proofErr w:type="spellEnd"/>
            <w:r>
              <w:rPr>
                <w:rFonts w:eastAsiaTheme="minorEastAsia"/>
                <w:bCs/>
                <w:color w:val="000000" w:themeColor="text1"/>
                <w:lang w:val="en-GB" w:eastAsia="ja-JP"/>
              </w:rPr>
              <w:t xml:space="preserve"> (</w:t>
            </w:r>
            <w:bookmarkStart w:id="0" w:name="_GoBack"/>
            <w:bookmarkEnd w:id="0"/>
            <w:r w:rsidR="003E6CE2" w:rsidRPr="00886E95">
              <w:rPr>
                <w:rFonts w:eastAsiaTheme="minorEastAsia"/>
                <w:bCs/>
                <w:color w:val="000000" w:themeColor="text1"/>
                <w:lang w:val="en-GB" w:eastAsia="ja-JP"/>
              </w:rPr>
              <w:t>JAEA)</w:t>
            </w:r>
          </w:p>
        </w:tc>
        <w:tc>
          <w:tcPr>
            <w:tcW w:w="1984" w:type="dxa"/>
          </w:tcPr>
          <w:p w:rsidR="00870359" w:rsidRPr="00890A61" w:rsidRDefault="00870359" w:rsidP="00890A61">
            <w:pPr>
              <w:pStyle w:val="Default"/>
              <w:spacing w:before="120" w:after="120"/>
              <w:rPr>
                <w:rFonts w:eastAsiaTheme="minorEastAsia"/>
                <w:b/>
                <w:bCs/>
                <w:color w:val="000000" w:themeColor="text1"/>
                <w:lang w:val="en-GB" w:eastAsia="ja-JP"/>
              </w:rPr>
            </w:pPr>
            <w:r w:rsidRPr="00890A61">
              <w:rPr>
                <w:rFonts w:eastAsiaTheme="minorEastAsia"/>
                <w:noProof/>
                <w:color w:val="000000" w:themeColor="text1"/>
                <w:lang w:val="en-GB" w:eastAsia="ja-JP"/>
              </w:rPr>
              <w:t>O. Cabellos</w:t>
            </w:r>
          </w:p>
        </w:tc>
      </w:tr>
      <w:tr w:rsidR="00870359" w:rsidRPr="003B311E" w:rsidTr="00890A61">
        <w:trPr>
          <w:cantSplit/>
          <w:trHeight w:val="20"/>
        </w:trPr>
        <w:tc>
          <w:tcPr>
            <w:tcW w:w="1670" w:type="dxa"/>
            <w:shd w:val="clear" w:color="auto" w:fill="D9D9D9" w:themeFill="background1" w:themeFillShade="D9"/>
          </w:tcPr>
          <w:p w:rsidR="00870359" w:rsidRPr="00890A61" w:rsidRDefault="00870359" w:rsidP="00870359">
            <w:pPr>
              <w:pStyle w:val="Default"/>
              <w:spacing w:before="120" w:after="120"/>
              <w:jc w:val="right"/>
              <w:rPr>
                <w:b/>
                <w:bCs/>
                <w:color w:val="000000" w:themeColor="text1"/>
                <w:lang w:val="en-GB"/>
              </w:rPr>
            </w:pPr>
            <w:r w:rsidRPr="00890A61">
              <w:rPr>
                <w:b/>
                <w:bCs/>
                <w:color w:val="000000" w:themeColor="text1"/>
                <w:lang w:val="en-GB"/>
              </w:rPr>
              <w:t>15:</w:t>
            </w:r>
            <w:r w:rsidRPr="00890A61">
              <w:rPr>
                <w:rFonts w:eastAsiaTheme="minorEastAsia" w:hint="eastAsia"/>
                <w:b/>
                <w:bCs/>
                <w:color w:val="000000" w:themeColor="text1"/>
                <w:lang w:val="en-GB" w:eastAsia="ja-JP"/>
              </w:rPr>
              <w:t>2</w:t>
            </w:r>
            <w:r w:rsidRPr="00890A61">
              <w:rPr>
                <w:b/>
                <w:bCs/>
                <w:color w:val="000000" w:themeColor="text1"/>
                <w:lang w:val="en-GB"/>
              </w:rPr>
              <w:t>0 – 15:</w:t>
            </w:r>
            <w:r w:rsidRPr="00890A61">
              <w:rPr>
                <w:rFonts w:eastAsiaTheme="minorEastAsia" w:hint="eastAsia"/>
                <w:b/>
                <w:bCs/>
                <w:color w:val="000000" w:themeColor="text1"/>
                <w:lang w:val="en-GB" w:eastAsia="ja-JP"/>
              </w:rPr>
              <w:t>4</w:t>
            </w:r>
            <w:r w:rsidRPr="00890A61">
              <w:rPr>
                <w:b/>
                <w:bCs/>
                <w:color w:val="000000" w:themeColor="text1"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:rsidR="00870359" w:rsidRPr="00890A61" w:rsidRDefault="00870359" w:rsidP="00870359">
            <w:pPr>
              <w:pStyle w:val="Default"/>
              <w:spacing w:before="120" w:after="120"/>
              <w:rPr>
                <w:b/>
                <w:bCs/>
                <w:color w:val="000000" w:themeColor="text1"/>
                <w:lang w:val="en-GB"/>
              </w:rPr>
            </w:pPr>
            <w:r w:rsidRPr="00890A61">
              <w:rPr>
                <w:b/>
                <w:bCs/>
                <w:color w:val="000000" w:themeColor="text1"/>
                <w:lang w:val="en-GB"/>
              </w:rPr>
              <w:t>Coffee Break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70359" w:rsidRPr="003B311E" w:rsidRDefault="00870359" w:rsidP="00870359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870359" w:rsidRPr="00FE75F1" w:rsidTr="00553CC2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70359" w:rsidRPr="00890A61" w:rsidRDefault="00870359" w:rsidP="00553CC2">
            <w:pPr>
              <w:pStyle w:val="Default"/>
              <w:spacing w:before="120" w:after="120"/>
              <w:jc w:val="right"/>
              <w:rPr>
                <w:noProof/>
                <w:color w:val="000000" w:themeColor="text1"/>
                <w:lang w:val="en-GB" w:eastAsia="zh-TW"/>
              </w:rPr>
            </w:pPr>
            <w:r w:rsidRPr="00890A61">
              <w:rPr>
                <w:noProof/>
                <w:color w:val="000000" w:themeColor="text1"/>
                <w:lang w:val="en-GB" w:eastAsia="zh-TW"/>
              </w:rPr>
              <w:t>15:</w:t>
            </w:r>
            <w:r w:rsidRPr="00890A61">
              <w:rPr>
                <w:rFonts w:eastAsiaTheme="minorEastAsia" w:hint="eastAsia"/>
                <w:noProof/>
                <w:color w:val="000000" w:themeColor="text1"/>
                <w:lang w:val="en-GB" w:eastAsia="ja-JP"/>
              </w:rPr>
              <w:t>4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0</w:t>
            </w:r>
            <w:r w:rsidRPr="00890A61">
              <w:rPr>
                <w:bCs/>
                <w:color w:val="000000" w:themeColor="text1"/>
                <w:lang w:val="en-GB"/>
              </w:rPr>
              <w:t xml:space="preserve"> – </w:t>
            </w:r>
            <w:r w:rsidRPr="00890A61">
              <w:rPr>
                <w:noProof/>
                <w:color w:val="000000" w:themeColor="text1"/>
                <w:lang w:val="en-GB" w:eastAsia="zh-TW"/>
              </w:rPr>
              <w:t>16:20</w:t>
            </w:r>
          </w:p>
        </w:tc>
        <w:tc>
          <w:tcPr>
            <w:tcW w:w="5526" w:type="dxa"/>
            <w:shd w:val="clear" w:color="auto" w:fill="auto"/>
          </w:tcPr>
          <w:p w:rsidR="00870359" w:rsidRPr="00890A61" w:rsidRDefault="00870359" w:rsidP="00553CC2">
            <w:pPr>
              <w:pStyle w:val="Default"/>
              <w:spacing w:before="120" w:after="120"/>
              <w:rPr>
                <w:noProof/>
                <w:color w:val="000000" w:themeColor="text1"/>
                <w:lang w:val="en-GB" w:eastAsia="zh-TW"/>
              </w:rPr>
            </w:pPr>
            <w:r w:rsidRPr="00890A61">
              <w:rPr>
                <w:rFonts w:hint="eastAsia"/>
                <w:noProof/>
                <w:color w:val="000000" w:themeColor="text1"/>
                <w:lang w:val="en-GB" w:eastAsia="zh-TW"/>
              </w:rPr>
              <w:t>New decay data measurements</w:t>
            </w:r>
          </w:p>
        </w:tc>
        <w:tc>
          <w:tcPr>
            <w:tcW w:w="1984" w:type="dxa"/>
          </w:tcPr>
          <w:p w:rsidR="00870359" w:rsidRPr="00FE75F1" w:rsidRDefault="00870359" w:rsidP="00553CC2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rFonts w:hint="eastAsia"/>
                <w:noProof/>
                <w:color w:val="auto"/>
                <w:lang w:val="en-GB" w:eastAsia="zh-TW"/>
              </w:rPr>
              <w:t>A. Kimura</w:t>
            </w:r>
          </w:p>
        </w:tc>
      </w:tr>
      <w:tr w:rsidR="00870359" w:rsidRPr="00FE75F1" w:rsidTr="00553CC2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70359" w:rsidRPr="00FE75F1" w:rsidRDefault="00870359" w:rsidP="00553CC2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16:20</w:t>
            </w:r>
            <w:r w:rsidRPr="003B311E">
              <w:rPr>
                <w:bCs/>
                <w:lang w:val="en-GB"/>
              </w:rPr>
              <w:t xml:space="preserve"> – </w:t>
            </w:r>
            <w:r w:rsidRPr="00FE75F1">
              <w:rPr>
                <w:noProof/>
                <w:color w:val="auto"/>
                <w:lang w:val="en-GB" w:eastAsia="zh-TW"/>
              </w:rPr>
              <w:t>17:20</w:t>
            </w:r>
          </w:p>
        </w:tc>
        <w:tc>
          <w:tcPr>
            <w:tcW w:w="5526" w:type="dxa"/>
            <w:shd w:val="clear" w:color="auto" w:fill="auto"/>
          </w:tcPr>
          <w:p w:rsidR="00870359" w:rsidRPr="00FE75F1" w:rsidRDefault="00870359" w:rsidP="00553CC2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rFonts w:hint="eastAsia"/>
                <w:noProof/>
                <w:color w:val="auto"/>
                <w:lang w:val="en-GB" w:eastAsia="zh-TW"/>
              </w:rPr>
              <w:t>S</w:t>
            </w:r>
            <w:r w:rsidRPr="00FE75F1">
              <w:rPr>
                <w:noProof/>
                <w:color w:val="auto"/>
                <w:lang w:val="en-GB" w:eastAsia="zh-TW"/>
              </w:rPr>
              <w:t>tatus of the recommended nuclear decay data</w:t>
            </w:r>
          </w:p>
        </w:tc>
        <w:tc>
          <w:tcPr>
            <w:tcW w:w="1984" w:type="dxa"/>
          </w:tcPr>
          <w:p w:rsidR="00870359" w:rsidRPr="00FE75F1" w:rsidRDefault="00870359" w:rsidP="00553CC2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rFonts w:hint="eastAsia"/>
                <w:noProof/>
                <w:color w:val="auto"/>
                <w:lang w:val="en-GB" w:eastAsia="zh-TW"/>
              </w:rPr>
              <w:t>M. Kellett</w:t>
            </w:r>
          </w:p>
        </w:tc>
      </w:tr>
      <w:tr w:rsidR="00870359" w:rsidRPr="00FE75F1" w:rsidTr="00553CC2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70359" w:rsidRPr="00FE75F1" w:rsidRDefault="00870359" w:rsidP="00553CC2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17:20</w:t>
            </w:r>
            <w:r w:rsidRPr="003B311E">
              <w:rPr>
                <w:bCs/>
                <w:lang w:val="en-GB"/>
              </w:rPr>
              <w:t xml:space="preserve"> – </w:t>
            </w:r>
            <w:r w:rsidRPr="00FE75F1">
              <w:rPr>
                <w:noProof/>
                <w:color w:val="auto"/>
                <w:lang w:val="en-GB" w:eastAsia="zh-TW"/>
              </w:rPr>
              <w:t>18:00</w:t>
            </w:r>
          </w:p>
        </w:tc>
        <w:tc>
          <w:tcPr>
            <w:tcW w:w="5526" w:type="dxa"/>
            <w:shd w:val="clear" w:color="auto" w:fill="auto"/>
          </w:tcPr>
          <w:p w:rsidR="00870359" w:rsidRPr="00FE75F1" w:rsidRDefault="00870359" w:rsidP="00553CC2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rFonts w:hint="eastAsia"/>
                <w:noProof/>
                <w:color w:val="auto"/>
                <w:lang w:val="en-GB" w:eastAsia="zh-TW"/>
              </w:rPr>
              <w:t>Discussions on the preparation of report</w:t>
            </w:r>
          </w:p>
        </w:tc>
        <w:tc>
          <w:tcPr>
            <w:tcW w:w="1984" w:type="dxa"/>
          </w:tcPr>
          <w:p w:rsidR="00870359" w:rsidRPr="00FE75F1" w:rsidRDefault="00870359" w:rsidP="00553CC2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All</w:t>
            </w:r>
          </w:p>
        </w:tc>
      </w:tr>
    </w:tbl>
    <w:p w:rsidR="000755B1" w:rsidRDefault="000755B1" w:rsidP="00A9108B">
      <w:pPr>
        <w:spacing w:after="0" w:line="240" w:lineRule="auto"/>
      </w:pPr>
    </w:p>
    <w:p w:rsidR="00B00A29" w:rsidRDefault="00B00A29" w:rsidP="002419BC">
      <w:pPr>
        <w:pStyle w:val="Default"/>
        <w:jc w:val="center"/>
        <w:rPr>
          <w:i/>
          <w:szCs w:val="23"/>
          <w:lang w:val="en-GB"/>
        </w:rPr>
      </w:pPr>
    </w:p>
    <w:p w:rsidR="009F1EF5" w:rsidRDefault="009F1EF5">
      <w:pPr>
        <w:spacing w:after="0" w:line="240" w:lineRule="auto"/>
        <w:rPr>
          <w:rFonts w:ascii="Courier New" w:hAnsi="Courier New" w:cs="Courier New"/>
          <w:b/>
          <w:bCs/>
          <w:noProof w:val="0"/>
          <w:color w:val="000000"/>
          <w:sz w:val="20"/>
          <w:szCs w:val="20"/>
          <w:lang w:eastAsia="en-GB"/>
        </w:rPr>
      </w:pPr>
      <w:r>
        <w:rPr>
          <w:rFonts w:ascii="Courier New" w:hAnsi="Courier New" w:cs="Courier New"/>
          <w:b/>
          <w:bCs/>
          <w:sz w:val="20"/>
          <w:szCs w:val="20"/>
          <w:lang w:eastAsia="en-GB"/>
        </w:rPr>
        <w:br w:type="page"/>
      </w:r>
    </w:p>
    <w:p w:rsidR="00293064" w:rsidRDefault="00741C93" w:rsidP="00293064">
      <w:pPr>
        <w:pStyle w:val="Default"/>
        <w:jc w:val="center"/>
        <w:rPr>
          <w:rFonts w:ascii="Courier New" w:hAnsi="Courier New" w:cs="Courier New"/>
          <w:b/>
          <w:bCs/>
          <w:sz w:val="20"/>
          <w:szCs w:val="20"/>
          <w:lang w:val="en-GB" w:eastAsia="en-GB"/>
        </w:rPr>
      </w:pPr>
      <w:r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lastRenderedPageBreak/>
        <w:t>Participants in SG41 Meeting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(</w:t>
      </w:r>
      <w:r w:rsidR="00141396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May 4</w:t>
      </w:r>
      <w:r w:rsidR="009F1EF5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, 2016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)</w:t>
      </w:r>
    </w:p>
    <w:p w:rsidR="00293064" w:rsidRPr="00E35CEB" w:rsidRDefault="00293064" w:rsidP="00293064">
      <w:pPr>
        <w:pStyle w:val="Default"/>
        <w:jc w:val="center"/>
        <w:rPr>
          <w:rFonts w:ascii="Courier New" w:hAnsi="Courier New" w:cs="Courier New"/>
          <w:b/>
          <w:bCs/>
          <w:sz w:val="6"/>
          <w:szCs w:val="6"/>
          <w:lang w:val="en-GB" w:eastAsia="en-GB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73"/>
        <w:gridCol w:w="7654"/>
      </w:tblGrid>
      <w:tr w:rsidR="00293064" w:rsidRPr="00932C9C" w:rsidTr="00245D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3064" w:rsidRPr="00932C9C" w:rsidRDefault="00293064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  <w:r w:rsidRPr="00932C9C">
              <w:rPr>
                <w:rFonts w:eastAsia="Times New Roman" w:cs="Calibri"/>
                <w:noProof w:val="0"/>
                <w:color w:val="000000"/>
                <w:lang w:eastAsia="en-GB"/>
              </w:rPr>
              <w:t>#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293064" w:rsidRPr="00932C9C" w:rsidRDefault="00293064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  <w:hideMark/>
          </w:tcPr>
          <w:p w:rsidR="00293064" w:rsidRPr="00932C9C" w:rsidRDefault="00293064" w:rsidP="0014139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JEFF-Fusion Participants</w:t>
            </w:r>
          </w:p>
        </w:tc>
      </w:tr>
      <w:tr w:rsidR="00141396" w:rsidRPr="009F1EF5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Michal Wladyslaw HERMAN</w:t>
            </w:r>
          </w:p>
        </w:tc>
      </w:tr>
      <w:tr w:rsidR="00141396" w:rsidRPr="003E6CE2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141396" w:rsidRDefault="00141396" w:rsidP="00141396">
            <w:pPr>
              <w:spacing w:after="0" w:line="240" w:lineRule="auto"/>
              <w:rPr>
                <w:lang w:val="es-ES_tradnl"/>
              </w:rPr>
            </w:pPr>
            <w:r w:rsidRPr="00141396">
              <w:rPr>
                <w:lang w:val="es-ES_tradnl"/>
              </w:rPr>
              <w:t>Mr Oscar CABELLOS DE FRANCISCO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Prof. Anatoly V. IGNATYUK</w:t>
            </w:r>
          </w:p>
        </w:tc>
      </w:tr>
      <w:tr w:rsidR="00141396" w:rsidRPr="00141396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Mark A. KELLETT</w:t>
            </w:r>
          </w:p>
        </w:tc>
      </w:tr>
      <w:tr w:rsidR="00141396" w:rsidRPr="00107190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Oleg T. GRUDZEVICH</w:t>
            </w:r>
          </w:p>
        </w:tc>
      </w:tr>
      <w:tr w:rsidR="00141396" w:rsidRPr="00141396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Mark CHADWICK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Osamu IWAMOTO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Matthias ROSSBACH</w:t>
            </w:r>
          </w:p>
        </w:tc>
      </w:tr>
      <w:tr w:rsidR="00141396" w:rsidRPr="003E6CE2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141396" w:rsidRDefault="00141396" w:rsidP="00141396">
            <w:pPr>
              <w:spacing w:after="0" w:line="240" w:lineRule="auto"/>
              <w:rPr>
                <w:lang w:val="es-ES_tradnl"/>
              </w:rPr>
            </w:pPr>
            <w:r w:rsidRPr="00141396">
              <w:rPr>
                <w:lang w:val="es-ES_tradnl"/>
              </w:rPr>
              <w:t>Dr Carlos Javier DIEZ DE LA OBRA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Liyang JIANG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Christoph GENREITH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Atsushi KIMURA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Peter SCHILLEBEECKX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Marian JANDEL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Gilles NOGUERE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Hideo HARADA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Tadafumi SANO</w:t>
            </w:r>
          </w:p>
        </w:tc>
      </w:tr>
      <w:tr w:rsidR="00141396" w:rsidRPr="0006608A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Daniel CANO-OTT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Luca FIORITO</w:t>
            </w:r>
          </w:p>
        </w:tc>
      </w:tr>
      <w:tr w:rsidR="00141396" w:rsidRPr="0006608A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Dr Gasper ZEROVNIK</w:t>
            </w:r>
          </w:p>
        </w:tc>
      </w:tr>
      <w:tr w:rsidR="00141396" w:rsidRPr="00107190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932C9C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Pr="00F61DD8" w:rsidRDefault="00141396" w:rsidP="00141396">
            <w:pPr>
              <w:spacing w:after="0" w:line="240" w:lineRule="auto"/>
            </w:pPr>
            <w:r w:rsidRPr="00F61DD8">
              <w:t>Mr Pierre LECONTE</w:t>
            </w:r>
          </w:p>
        </w:tc>
      </w:tr>
      <w:tr w:rsidR="00141396" w:rsidRPr="00932C9C" w:rsidTr="00611A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41396" w:rsidRDefault="00141396" w:rsidP="0014139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41396" w:rsidRPr="00107190" w:rsidRDefault="00141396" w:rsidP="0014139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val="es-ES_tradnl"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141396" w:rsidRDefault="00141396" w:rsidP="00141396">
            <w:pPr>
              <w:spacing w:after="0" w:line="240" w:lineRule="auto"/>
            </w:pPr>
            <w:r w:rsidRPr="00F61DD8">
              <w:t>Dr Robert JACQMIN</w:t>
            </w:r>
          </w:p>
        </w:tc>
      </w:tr>
    </w:tbl>
    <w:p w:rsidR="00293064" w:rsidRPr="009A3EBF" w:rsidRDefault="00293064" w:rsidP="00293064">
      <w:pPr>
        <w:pStyle w:val="Default"/>
        <w:rPr>
          <w:i/>
          <w:szCs w:val="23"/>
          <w:lang w:val="es-ES_tradnl"/>
        </w:rPr>
      </w:pPr>
    </w:p>
    <w:sectPr w:rsidR="00293064" w:rsidRPr="009A3EBF" w:rsidSect="00DF5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7E" w:rsidRDefault="00AA7C7E" w:rsidP="004C1B01">
      <w:pPr>
        <w:spacing w:after="0" w:line="240" w:lineRule="auto"/>
      </w:pPr>
      <w:r>
        <w:separator/>
      </w:r>
    </w:p>
  </w:endnote>
  <w:endnote w:type="continuationSeparator" w:id="0">
    <w:p w:rsidR="00AA7C7E" w:rsidRDefault="00AA7C7E" w:rsidP="004C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  <w:r w:rsidRPr="00DF5249">
      <w:rPr>
        <w:rFonts w:ascii="Times New Roman" w:hAnsi="Times New Roman"/>
        <w:i/>
        <w:color w:val="7F7F7F"/>
      </w:rPr>
      <w:t>Turn 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49" w:rsidRPr="00DF5249" w:rsidRDefault="00DF5249" w:rsidP="00DF5249">
    <w:pPr>
      <w:pStyle w:val="Footer"/>
      <w:rPr>
        <w:rFonts w:ascii="Times New Roman" w:hAnsi="Times New Roman"/>
        <w:i/>
        <w:color w:val="7F7F7F"/>
      </w:rPr>
    </w:pPr>
    <w:r>
      <w:tab/>
    </w:r>
    <w:r>
      <w:tab/>
    </w:r>
    <w:r w:rsidRPr="00DF5249">
      <w:rPr>
        <w:rFonts w:ascii="Times New Roman" w:hAnsi="Times New Roman"/>
        <w:i/>
        <w:color w:val="7F7F7F"/>
      </w:rPr>
      <w:t>Turn page</w:t>
    </w:r>
  </w:p>
  <w:p w:rsidR="00DF5249" w:rsidRDefault="00DF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7E" w:rsidRDefault="00AA7C7E" w:rsidP="004C1B01">
      <w:pPr>
        <w:spacing w:after="0" w:line="240" w:lineRule="auto"/>
      </w:pPr>
      <w:r>
        <w:separator/>
      </w:r>
    </w:p>
  </w:footnote>
  <w:footnote w:type="continuationSeparator" w:id="0">
    <w:p w:rsidR="00AA7C7E" w:rsidRDefault="00AA7C7E" w:rsidP="004C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A5" w:rsidRPr="0043762E" w:rsidRDefault="0043762E" w:rsidP="00FB1FA5">
    <w:pPr>
      <w:pStyle w:val="Header"/>
      <w:tabs>
        <w:tab w:val="clear" w:pos="4536"/>
        <w:tab w:val="clear" w:pos="9072"/>
        <w:tab w:val="center" w:pos="4513"/>
      </w:tabs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6EB"/>
    <w:multiLevelType w:val="hybridMultilevel"/>
    <w:tmpl w:val="6F7C6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4EDE"/>
    <w:multiLevelType w:val="hybridMultilevel"/>
    <w:tmpl w:val="9E7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53451"/>
    <w:multiLevelType w:val="hybridMultilevel"/>
    <w:tmpl w:val="9F38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4E93"/>
    <w:multiLevelType w:val="hybridMultilevel"/>
    <w:tmpl w:val="4A4EF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37D0B"/>
    <w:multiLevelType w:val="hybridMultilevel"/>
    <w:tmpl w:val="B1A6B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C52"/>
    <w:multiLevelType w:val="hybridMultilevel"/>
    <w:tmpl w:val="8B3C1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1A64"/>
    <w:multiLevelType w:val="hybridMultilevel"/>
    <w:tmpl w:val="3FB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46B10"/>
    <w:multiLevelType w:val="hybridMultilevel"/>
    <w:tmpl w:val="DB5844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35FE"/>
    <w:multiLevelType w:val="hybridMultilevel"/>
    <w:tmpl w:val="24788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4441"/>
    <w:multiLevelType w:val="hybridMultilevel"/>
    <w:tmpl w:val="634A7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5D67"/>
    <w:multiLevelType w:val="hybridMultilevel"/>
    <w:tmpl w:val="933CC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A27A6"/>
    <w:multiLevelType w:val="hybridMultilevel"/>
    <w:tmpl w:val="98DCA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30D33"/>
    <w:multiLevelType w:val="hybridMultilevel"/>
    <w:tmpl w:val="C8B0BC8C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64A8D"/>
    <w:multiLevelType w:val="hybridMultilevel"/>
    <w:tmpl w:val="79927516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63B45"/>
    <w:multiLevelType w:val="hybridMultilevel"/>
    <w:tmpl w:val="03367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1"/>
    <w:rsid w:val="00002FDE"/>
    <w:rsid w:val="00013F8C"/>
    <w:rsid w:val="00020FBF"/>
    <w:rsid w:val="00033260"/>
    <w:rsid w:val="000367BA"/>
    <w:rsid w:val="000374C9"/>
    <w:rsid w:val="00037F67"/>
    <w:rsid w:val="00054746"/>
    <w:rsid w:val="0006608A"/>
    <w:rsid w:val="000660AA"/>
    <w:rsid w:val="000755B1"/>
    <w:rsid w:val="00082EE8"/>
    <w:rsid w:val="00087C86"/>
    <w:rsid w:val="00093C49"/>
    <w:rsid w:val="00097486"/>
    <w:rsid w:val="000B06DD"/>
    <w:rsid w:val="000B6479"/>
    <w:rsid w:val="000C54B2"/>
    <w:rsid w:val="000C6D8E"/>
    <w:rsid w:val="000D0D36"/>
    <w:rsid w:val="000E732B"/>
    <w:rsid w:val="000E7C7E"/>
    <w:rsid w:val="000F0B24"/>
    <w:rsid w:val="000F48CC"/>
    <w:rsid w:val="0010189B"/>
    <w:rsid w:val="001047BE"/>
    <w:rsid w:val="001075A9"/>
    <w:rsid w:val="00141396"/>
    <w:rsid w:val="00141A14"/>
    <w:rsid w:val="00154AEC"/>
    <w:rsid w:val="00154CAA"/>
    <w:rsid w:val="001578C6"/>
    <w:rsid w:val="00164819"/>
    <w:rsid w:val="001B0DA4"/>
    <w:rsid w:val="001D0629"/>
    <w:rsid w:val="001E5EFB"/>
    <w:rsid w:val="001F141C"/>
    <w:rsid w:val="001F4FF7"/>
    <w:rsid w:val="00215831"/>
    <w:rsid w:val="00220824"/>
    <w:rsid w:val="002231A4"/>
    <w:rsid w:val="00226802"/>
    <w:rsid w:val="002419BC"/>
    <w:rsid w:val="00245D94"/>
    <w:rsid w:val="00247AC3"/>
    <w:rsid w:val="00275555"/>
    <w:rsid w:val="00281A3F"/>
    <w:rsid w:val="00281AD7"/>
    <w:rsid w:val="00282400"/>
    <w:rsid w:val="002900B0"/>
    <w:rsid w:val="00290C83"/>
    <w:rsid w:val="00293064"/>
    <w:rsid w:val="002962D4"/>
    <w:rsid w:val="002B3939"/>
    <w:rsid w:val="002C1976"/>
    <w:rsid w:val="00311368"/>
    <w:rsid w:val="00341BA7"/>
    <w:rsid w:val="00352BC1"/>
    <w:rsid w:val="00366049"/>
    <w:rsid w:val="003755D0"/>
    <w:rsid w:val="00397968"/>
    <w:rsid w:val="003A59BB"/>
    <w:rsid w:val="003A5C25"/>
    <w:rsid w:val="003B311E"/>
    <w:rsid w:val="003B523C"/>
    <w:rsid w:val="003C6876"/>
    <w:rsid w:val="003E20B8"/>
    <w:rsid w:val="003E6CE2"/>
    <w:rsid w:val="003F02E3"/>
    <w:rsid w:val="003F1CF9"/>
    <w:rsid w:val="003F3AD9"/>
    <w:rsid w:val="003F4EF1"/>
    <w:rsid w:val="00403CF0"/>
    <w:rsid w:val="0041190C"/>
    <w:rsid w:val="00421DCF"/>
    <w:rsid w:val="0043762E"/>
    <w:rsid w:val="00443F74"/>
    <w:rsid w:val="00445587"/>
    <w:rsid w:val="004513FA"/>
    <w:rsid w:val="004556C2"/>
    <w:rsid w:val="00470C6C"/>
    <w:rsid w:val="0047460C"/>
    <w:rsid w:val="004B3A37"/>
    <w:rsid w:val="004C1B01"/>
    <w:rsid w:val="004C37A3"/>
    <w:rsid w:val="004E62F8"/>
    <w:rsid w:val="00503B45"/>
    <w:rsid w:val="005078F9"/>
    <w:rsid w:val="0051048A"/>
    <w:rsid w:val="00513E84"/>
    <w:rsid w:val="00520BA5"/>
    <w:rsid w:val="00520FB3"/>
    <w:rsid w:val="00567869"/>
    <w:rsid w:val="0058017B"/>
    <w:rsid w:val="00580458"/>
    <w:rsid w:val="00581FD9"/>
    <w:rsid w:val="00590FDF"/>
    <w:rsid w:val="00594106"/>
    <w:rsid w:val="005A7EC7"/>
    <w:rsid w:val="005B32D9"/>
    <w:rsid w:val="005C16E3"/>
    <w:rsid w:val="005C4E64"/>
    <w:rsid w:val="005D3C44"/>
    <w:rsid w:val="00600E4D"/>
    <w:rsid w:val="0062422C"/>
    <w:rsid w:val="00624BE8"/>
    <w:rsid w:val="00637EB5"/>
    <w:rsid w:val="00661238"/>
    <w:rsid w:val="00666E24"/>
    <w:rsid w:val="006718E7"/>
    <w:rsid w:val="00671E5F"/>
    <w:rsid w:val="006759CD"/>
    <w:rsid w:val="00676567"/>
    <w:rsid w:val="006821FF"/>
    <w:rsid w:val="006846A2"/>
    <w:rsid w:val="006856F0"/>
    <w:rsid w:val="00695C6E"/>
    <w:rsid w:val="006A31C9"/>
    <w:rsid w:val="006C1621"/>
    <w:rsid w:val="006D5C8C"/>
    <w:rsid w:val="006F455A"/>
    <w:rsid w:val="007022AA"/>
    <w:rsid w:val="00727038"/>
    <w:rsid w:val="007273F2"/>
    <w:rsid w:val="00741C93"/>
    <w:rsid w:val="00744003"/>
    <w:rsid w:val="007514A0"/>
    <w:rsid w:val="00751C46"/>
    <w:rsid w:val="00756368"/>
    <w:rsid w:val="00763A3C"/>
    <w:rsid w:val="00765841"/>
    <w:rsid w:val="00766878"/>
    <w:rsid w:val="00780B18"/>
    <w:rsid w:val="007843E4"/>
    <w:rsid w:val="00787D9A"/>
    <w:rsid w:val="0079003A"/>
    <w:rsid w:val="00790A77"/>
    <w:rsid w:val="007B1FBB"/>
    <w:rsid w:val="007B7543"/>
    <w:rsid w:val="007B78DC"/>
    <w:rsid w:val="007C03E7"/>
    <w:rsid w:val="007C0408"/>
    <w:rsid w:val="007C29D2"/>
    <w:rsid w:val="007C3BF1"/>
    <w:rsid w:val="007D36CB"/>
    <w:rsid w:val="007E3CF7"/>
    <w:rsid w:val="007E5904"/>
    <w:rsid w:val="007E5B5A"/>
    <w:rsid w:val="007F140D"/>
    <w:rsid w:val="007F4E16"/>
    <w:rsid w:val="00802975"/>
    <w:rsid w:val="008257B9"/>
    <w:rsid w:val="0083026B"/>
    <w:rsid w:val="00841AF6"/>
    <w:rsid w:val="00870359"/>
    <w:rsid w:val="00876268"/>
    <w:rsid w:val="00876E0A"/>
    <w:rsid w:val="00886E95"/>
    <w:rsid w:val="00890A61"/>
    <w:rsid w:val="008A2D77"/>
    <w:rsid w:val="008A7E6E"/>
    <w:rsid w:val="008B3D54"/>
    <w:rsid w:val="008C17A9"/>
    <w:rsid w:val="008C6B58"/>
    <w:rsid w:val="008D0757"/>
    <w:rsid w:val="008D21B0"/>
    <w:rsid w:val="008D5E56"/>
    <w:rsid w:val="008F3A40"/>
    <w:rsid w:val="008F54E7"/>
    <w:rsid w:val="008F7082"/>
    <w:rsid w:val="00902FC0"/>
    <w:rsid w:val="00907001"/>
    <w:rsid w:val="009100E7"/>
    <w:rsid w:val="00913EF3"/>
    <w:rsid w:val="00925DF3"/>
    <w:rsid w:val="00933A32"/>
    <w:rsid w:val="00934B4E"/>
    <w:rsid w:val="00943E2A"/>
    <w:rsid w:val="00972162"/>
    <w:rsid w:val="00986318"/>
    <w:rsid w:val="00992D13"/>
    <w:rsid w:val="009A39DD"/>
    <w:rsid w:val="009A5BF6"/>
    <w:rsid w:val="009A690B"/>
    <w:rsid w:val="009B3A0B"/>
    <w:rsid w:val="009B7D2C"/>
    <w:rsid w:val="009C0199"/>
    <w:rsid w:val="009D4BE1"/>
    <w:rsid w:val="009F1EF5"/>
    <w:rsid w:val="009F24F0"/>
    <w:rsid w:val="009F77BA"/>
    <w:rsid w:val="00A03D88"/>
    <w:rsid w:val="00A0570B"/>
    <w:rsid w:val="00A10568"/>
    <w:rsid w:val="00A114C0"/>
    <w:rsid w:val="00A12FE7"/>
    <w:rsid w:val="00A30271"/>
    <w:rsid w:val="00A3732B"/>
    <w:rsid w:val="00A433A6"/>
    <w:rsid w:val="00A441BF"/>
    <w:rsid w:val="00A674FF"/>
    <w:rsid w:val="00A67A4A"/>
    <w:rsid w:val="00A8423B"/>
    <w:rsid w:val="00A9108B"/>
    <w:rsid w:val="00AA2E6E"/>
    <w:rsid w:val="00AA5F53"/>
    <w:rsid w:val="00AA7C7E"/>
    <w:rsid w:val="00AB0D5E"/>
    <w:rsid w:val="00AD22CE"/>
    <w:rsid w:val="00AD48F4"/>
    <w:rsid w:val="00AE16D0"/>
    <w:rsid w:val="00AE1B91"/>
    <w:rsid w:val="00B00A29"/>
    <w:rsid w:val="00B13E5D"/>
    <w:rsid w:val="00B1662D"/>
    <w:rsid w:val="00B21E37"/>
    <w:rsid w:val="00B4153E"/>
    <w:rsid w:val="00B53F49"/>
    <w:rsid w:val="00B73A06"/>
    <w:rsid w:val="00B77C52"/>
    <w:rsid w:val="00B86956"/>
    <w:rsid w:val="00B91A45"/>
    <w:rsid w:val="00BA54DF"/>
    <w:rsid w:val="00BB6375"/>
    <w:rsid w:val="00BB6B38"/>
    <w:rsid w:val="00BE2C29"/>
    <w:rsid w:val="00C036BC"/>
    <w:rsid w:val="00C14A37"/>
    <w:rsid w:val="00C1777C"/>
    <w:rsid w:val="00C5016E"/>
    <w:rsid w:val="00C606AD"/>
    <w:rsid w:val="00C64331"/>
    <w:rsid w:val="00C851E0"/>
    <w:rsid w:val="00C97703"/>
    <w:rsid w:val="00CA4862"/>
    <w:rsid w:val="00CB6539"/>
    <w:rsid w:val="00CE20E4"/>
    <w:rsid w:val="00D10766"/>
    <w:rsid w:val="00D10D3E"/>
    <w:rsid w:val="00D24542"/>
    <w:rsid w:val="00D413AE"/>
    <w:rsid w:val="00D470F9"/>
    <w:rsid w:val="00D51640"/>
    <w:rsid w:val="00D56254"/>
    <w:rsid w:val="00D87AA3"/>
    <w:rsid w:val="00DA3A74"/>
    <w:rsid w:val="00DA721D"/>
    <w:rsid w:val="00DB1307"/>
    <w:rsid w:val="00DB7A34"/>
    <w:rsid w:val="00DC0306"/>
    <w:rsid w:val="00DC4375"/>
    <w:rsid w:val="00DC7439"/>
    <w:rsid w:val="00DD320C"/>
    <w:rsid w:val="00DF5249"/>
    <w:rsid w:val="00DF5C31"/>
    <w:rsid w:val="00E00AAE"/>
    <w:rsid w:val="00E04B5F"/>
    <w:rsid w:val="00E1094F"/>
    <w:rsid w:val="00E13F64"/>
    <w:rsid w:val="00E17E52"/>
    <w:rsid w:val="00E20F3E"/>
    <w:rsid w:val="00E25C92"/>
    <w:rsid w:val="00E32208"/>
    <w:rsid w:val="00E32BEA"/>
    <w:rsid w:val="00E44944"/>
    <w:rsid w:val="00E46ADC"/>
    <w:rsid w:val="00E74597"/>
    <w:rsid w:val="00E94E49"/>
    <w:rsid w:val="00E97A32"/>
    <w:rsid w:val="00EB156B"/>
    <w:rsid w:val="00EB3D6B"/>
    <w:rsid w:val="00EB5B28"/>
    <w:rsid w:val="00EB7C39"/>
    <w:rsid w:val="00ED0D3F"/>
    <w:rsid w:val="00EE68A7"/>
    <w:rsid w:val="00EF332F"/>
    <w:rsid w:val="00EF63AD"/>
    <w:rsid w:val="00F14C09"/>
    <w:rsid w:val="00F22901"/>
    <w:rsid w:val="00F27B65"/>
    <w:rsid w:val="00F32784"/>
    <w:rsid w:val="00F622CE"/>
    <w:rsid w:val="00F664B7"/>
    <w:rsid w:val="00F73449"/>
    <w:rsid w:val="00F8446E"/>
    <w:rsid w:val="00F84D21"/>
    <w:rsid w:val="00FB1FA5"/>
    <w:rsid w:val="00FD1260"/>
    <w:rsid w:val="00FD7395"/>
    <w:rsid w:val="00FE564D"/>
    <w:rsid w:val="00FE75F1"/>
    <w:rsid w:val="00FF305A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D62E-2175-4184-BD9F-ABCA001E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OECD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Michel-Sendis Franco</dc:creator>
  <cp:lastModifiedBy>Cabellos de Francisco</cp:lastModifiedBy>
  <cp:revision>6</cp:revision>
  <cp:lastPrinted>2014-11-14T14:17:00Z</cp:lastPrinted>
  <dcterms:created xsi:type="dcterms:W3CDTF">2016-05-06T08:14:00Z</dcterms:created>
  <dcterms:modified xsi:type="dcterms:W3CDTF">2016-05-06T09:47:00Z</dcterms:modified>
</cp:coreProperties>
</file>