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B3" w:rsidRPr="007533E5" w:rsidRDefault="00BE00B3" w:rsidP="00BE00B3">
      <w:pPr>
        <w:tabs>
          <w:tab w:val="clear" w:pos="850"/>
          <w:tab w:val="clear" w:pos="1191"/>
          <w:tab w:val="clear" w:pos="1531"/>
        </w:tabs>
        <w:spacing w:after="200" w:line="276" w:lineRule="auto"/>
        <w:jc w:val="center"/>
        <w:rPr>
          <w:b/>
          <w:i/>
          <w:smallCaps/>
          <w:sz w:val="28"/>
        </w:rPr>
      </w:pPr>
      <w:bookmarkStart w:id="0" w:name="_GoBack"/>
      <w:r w:rsidRPr="007533E5">
        <w:rPr>
          <w:b/>
          <w:smallCaps/>
          <w:sz w:val="28"/>
        </w:rPr>
        <w:t>Questionnaire C</w:t>
      </w:r>
    </w:p>
    <w:p w:rsidR="00BE00B3" w:rsidRPr="00866D33" w:rsidRDefault="00BE00B3" w:rsidP="00BE00B3">
      <w:pPr>
        <w:tabs>
          <w:tab w:val="clear" w:pos="850"/>
          <w:tab w:val="clear" w:pos="1191"/>
          <w:tab w:val="clear" w:pos="1531"/>
        </w:tabs>
        <w:suppressAutoHyphens/>
        <w:spacing w:after="200" w:line="276" w:lineRule="auto"/>
        <w:jc w:val="center"/>
        <w:rPr>
          <w:rFonts w:eastAsia="Calibri"/>
          <w:b/>
          <w:i/>
          <w:lang w:eastAsia="ar-SA"/>
        </w:rPr>
      </w:pPr>
      <w:r>
        <w:rPr>
          <w:rFonts w:eastAsia="Calibri"/>
          <w:b/>
          <w:lang w:eastAsia="ar-SA"/>
        </w:rPr>
        <w:t>The Inspectors’ Role in the Enforcement Process</w:t>
      </w:r>
    </w:p>
    <w:bookmarkEnd w:id="0"/>
    <w:p w:rsidR="00BE00B3" w:rsidRPr="007533E5" w:rsidRDefault="00BE00B3" w:rsidP="00BE00B3">
      <w:pPr>
        <w:pStyle w:val="BodyText"/>
        <w:jc w:val="center"/>
        <w:rPr>
          <w:i/>
          <w:sz w:val="28"/>
          <w:szCs w:val="28"/>
        </w:rPr>
      </w:pPr>
      <w:r>
        <w:rPr>
          <w:sz w:val="28"/>
          <w:szCs w:val="28"/>
        </w:rPr>
        <w:t xml:space="preserve">Country: </w:t>
      </w:r>
      <w:r w:rsidRPr="00980D46">
        <w:rPr>
          <w:sz w:val="28"/>
          <w:szCs w:val="28"/>
        </w:rPr>
        <w:t>____________</w:t>
      </w:r>
    </w:p>
    <w:p w:rsidR="00BE00B3" w:rsidRPr="004248E6" w:rsidRDefault="00BE00B3" w:rsidP="00BE00B3">
      <w:pPr>
        <w:pStyle w:val="Heading3"/>
      </w:pPr>
      <w:r w:rsidRPr="004248E6">
        <w:t>Notes:</w:t>
      </w:r>
    </w:p>
    <w:p w:rsidR="00BE00B3" w:rsidRDefault="00BE00B3" w:rsidP="00BE00B3">
      <w:pPr>
        <w:pStyle w:val="ListBullet"/>
        <w:numPr>
          <w:ilvl w:val="0"/>
          <w:numId w:val="0"/>
        </w:numPr>
        <w:tabs>
          <w:tab w:val="num" w:pos="567"/>
        </w:tabs>
        <w:ind w:left="567"/>
        <w:rPr>
          <w:i/>
        </w:rPr>
      </w:pPr>
      <w:r w:rsidRPr="00A74BDF">
        <w:t>Only one response per country is required. If more than one person from your country is participating, please co-ordinate the responses accordingly.</w:t>
      </w:r>
    </w:p>
    <w:p w:rsidR="00BE00B3" w:rsidRPr="004248E6" w:rsidRDefault="00BE00B3" w:rsidP="00BE00B3">
      <w:pPr>
        <w:pStyle w:val="Num-DocParagraph"/>
        <w:tabs>
          <w:tab w:val="clear" w:pos="850"/>
          <w:tab w:val="left" w:pos="567"/>
        </w:tabs>
        <w:rPr>
          <w:i/>
        </w:rPr>
      </w:pPr>
      <w:r>
        <w:tab/>
      </w:r>
      <w:r w:rsidRPr="004248E6">
        <w:t xml:space="preserve">Submittals should be sent by email to: </w:t>
      </w:r>
      <w:hyperlink r:id="rId9" w:history="1">
        <w:r w:rsidRPr="004248E6">
          <w:rPr>
            <w:rStyle w:val="Hyperlink"/>
            <w:i/>
          </w:rPr>
          <w:t>nancy.salgado@oecd.org</w:t>
        </w:r>
      </w:hyperlink>
      <w:hyperlink r:id="rId10" w:history="1"/>
      <w:r w:rsidRPr="004248E6">
        <w:t xml:space="preserve"> by 17 February 2016.</w:t>
      </w:r>
    </w:p>
    <w:p w:rsidR="00BE00B3" w:rsidRPr="007533E5" w:rsidRDefault="00BE00B3" w:rsidP="00BE00B3">
      <w:pPr>
        <w:tabs>
          <w:tab w:val="clear" w:pos="850"/>
          <w:tab w:val="clear" w:pos="1191"/>
          <w:tab w:val="clear" w:pos="1531"/>
        </w:tabs>
        <w:spacing w:line="276" w:lineRule="auto"/>
        <w:rPr>
          <w:rFonts w:eastAsia="Calibri"/>
          <w:b/>
          <w:i/>
          <w:smallCaps/>
          <w:lang w:eastAsia="en-US"/>
        </w:rPr>
      </w:pPr>
      <w:r w:rsidRPr="004248E6">
        <w:rPr>
          <w:rFonts w:eastAsia="Calibri"/>
          <w:b/>
          <w:smallCaps/>
          <w:lang w:eastAsia="en-US"/>
        </w:rPr>
        <w:t>FOREWORD</w:t>
      </w:r>
    </w:p>
    <w:p w:rsidR="00BE00B3" w:rsidRPr="004248E6" w:rsidRDefault="00BE00B3" w:rsidP="00BE00B3">
      <w:pPr>
        <w:tabs>
          <w:tab w:val="clear" w:pos="850"/>
          <w:tab w:val="clear" w:pos="1191"/>
          <w:tab w:val="clear" w:pos="1531"/>
        </w:tabs>
        <w:spacing w:before="120" w:after="120" w:line="276" w:lineRule="auto"/>
        <w:rPr>
          <w:i/>
          <w:color w:val="000000"/>
        </w:rPr>
      </w:pPr>
      <w:r w:rsidRPr="004248E6">
        <w:rPr>
          <w:color w:val="000000"/>
        </w:rPr>
        <w:t>One key function of the Regulatory Body (RB) is inspection for monitoring compliance with the regulatory requirements and the licence conditions, and to take enforcement action in the case of non-compliance. The WGIP already dealt with this topic in 2005 and published a report</w:t>
      </w:r>
      <w:r w:rsidRPr="004248E6">
        <w:rPr>
          <w:color w:val="000000"/>
          <w:vertAlign w:val="superscript"/>
        </w:rPr>
        <w:footnoteReference w:id="1"/>
      </w:r>
      <w:r w:rsidRPr="004248E6">
        <w:rPr>
          <w:color w:val="000000"/>
        </w:rPr>
        <w:t xml:space="preserve"> called “Regulatory Inspection Practices to bring about Compliance”. A main result was that in most OECD/NEA countries a series of graded enforcement options are available for the RB, depending on laws, regulations and national culture: giving advice, oral and written cautions, letters, requirement to make improvement, prohibition on activities, directly imposed fines, direction to shut down, refusal to approve or permission an activity, license withdrawal, prosecution in courts.</w:t>
      </w:r>
    </w:p>
    <w:p w:rsidR="00BE00B3" w:rsidRPr="004248E6" w:rsidRDefault="00BE00B3" w:rsidP="00BE00B3">
      <w:pPr>
        <w:spacing w:before="120" w:after="120" w:line="276" w:lineRule="auto"/>
        <w:rPr>
          <w:i/>
          <w:color w:val="000000"/>
        </w:rPr>
      </w:pPr>
      <w:r w:rsidRPr="004248E6">
        <w:rPr>
          <w:color w:val="000000"/>
        </w:rPr>
        <w:t xml:space="preserve">The topic of this </w:t>
      </w:r>
      <w:r>
        <w:rPr>
          <w:color w:val="000000"/>
        </w:rPr>
        <w:t>workshop</w:t>
      </w:r>
      <w:r w:rsidRPr="004248E6">
        <w:rPr>
          <w:color w:val="000000"/>
        </w:rPr>
        <w:t xml:space="preserve"> is focused on the inspectors’ role in this enforcement process and to identify associated commendable inspection practices in the discussions. This comprises the specific role of the inspector in evaluating the findings, their role in the enforcement process itself as a key issue of the discussions and their role in the Follow-up of the licensee’s response.</w:t>
      </w:r>
    </w:p>
    <w:p w:rsidR="00BE00B3" w:rsidRPr="007533E5" w:rsidRDefault="00BE00B3" w:rsidP="00BE00B3">
      <w:pPr>
        <w:spacing w:before="120" w:after="120" w:line="276" w:lineRule="auto"/>
        <w:rPr>
          <w:i/>
          <w:color w:val="000000"/>
        </w:rPr>
      </w:pPr>
      <w:r w:rsidRPr="004248E6">
        <w:rPr>
          <w:color w:val="000000"/>
        </w:rPr>
        <w:t>IAEA has issued a Safety Guide</w:t>
      </w:r>
      <w:r w:rsidRPr="004248E6">
        <w:rPr>
          <w:color w:val="000000"/>
          <w:vertAlign w:val="superscript"/>
        </w:rPr>
        <w:footnoteReference w:id="2"/>
      </w:r>
      <w:r w:rsidRPr="004248E6">
        <w:rPr>
          <w:color w:val="000000"/>
        </w:rPr>
        <w:t xml:space="preserve"> GS-G-1.3 “Regulatory Inspection of Nuclear Facilities and Enforcement by the Regulatory Body” which has a chapter devoted to enforcement.</w:t>
      </w:r>
    </w:p>
    <w:p w:rsidR="00BE00B3" w:rsidRPr="007533E5" w:rsidRDefault="00BE00B3" w:rsidP="00BE00B3">
      <w:pPr>
        <w:tabs>
          <w:tab w:val="clear" w:pos="850"/>
          <w:tab w:val="clear" w:pos="1191"/>
          <w:tab w:val="clear" w:pos="1531"/>
        </w:tabs>
        <w:spacing w:line="276" w:lineRule="auto"/>
        <w:jc w:val="left"/>
        <w:rPr>
          <w:rFonts w:eastAsia="Batang"/>
          <w:b/>
          <w:i/>
          <w:color w:val="000000"/>
          <w:lang w:val="en-US" w:eastAsia="ar-SA"/>
        </w:rPr>
      </w:pPr>
      <w:r w:rsidRPr="004248E6">
        <w:rPr>
          <w:rFonts w:eastAsia="Batang"/>
          <w:b/>
          <w:color w:val="000000"/>
          <w:lang w:val="en-US" w:eastAsia="ar-SA"/>
        </w:rPr>
        <w:t>QUESTIONNAIRE</w:t>
      </w:r>
    </w:p>
    <w:p w:rsidR="00BE00B3" w:rsidRPr="004248E6" w:rsidRDefault="00BE00B3" w:rsidP="00BE00B3">
      <w:pPr>
        <w:tabs>
          <w:tab w:val="clear" w:pos="850"/>
          <w:tab w:val="clear" w:pos="1191"/>
          <w:tab w:val="clear" w:pos="1531"/>
        </w:tabs>
        <w:spacing w:before="120" w:after="120" w:line="276" w:lineRule="auto"/>
        <w:rPr>
          <w:i/>
          <w:color w:val="000000"/>
        </w:rPr>
      </w:pPr>
      <w:r w:rsidRPr="004248E6">
        <w:rPr>
          <w:color w:val="000000"/>
        </w:rPr>
        <w:t>For preparation of the workshop, participants are invited to supply their national inspection approaches used according to the following questionnaire:</w:t>
      </w:r>
    </w:p>
    <w:p w:rsidR="00BE00B3" w:rsidRPr="004248E6" w:rsidRDefault="00BE00B3" w:rsidP="00BE00B3">
      <w:pPr>
        <w:tabs>
          <w:tab w:val="clear" w:pos="850"/>
          <w:tab w:val="clear" w:pos="1191"/>
          <w:tab w:val="clear" w:pos="1531"/>
        </w:tabs>
        <w:spacing w:after="120" w:line="276" w:lineRule="auto"/>
        <w:rPr>
          <w:i/>
          <w:color w:val="000000"/>
        </w:rPr>
      </w:pPr>
      <w:r w:rsidRPr="004248E6">
        <w:rPr>
          <w:color w:val="000000"/>
        </w:rPr>
        <w:t>Note: For the current questionnaire “inspector” is referring to the inspector identifying issues that can lead to potential enforcement.</w:t>
      </w:r>
    </w:p>
    <w:p w:rsidR="00BE00B3" w:rsidRPr="007533E5" w:rsidRDefault="00BE00B3" w:rsidP="00BE00B3">
      <w:pPr>
        <w:keepNext/>
        <w:keepLines/>
        <w:numPr>
          <w:ilvl w:val="0"/>
          <w:numId w:val="3"/>
        </w:numPr>
        <w:tabs>
          <w:tab w:val="clear" w:pos="850"/>
          <w:tab w:val="clear" w:pos="1191"/>
          <w:tab w:val="clear" w:pos="1531"/>
        </w:tabs>
        <w:spacing w:after="200" w:line="276" w:lineRule="auto"/>
        <w:ind w:left="284" w:hanging="284"/>
        <w:jc w:val="left"/>
        <w:outlineLvl w:val="0"/>
        <w:rPr>
          <w:b/>
          <w:bCs/>
          <w:i/>
          <w:caps/>
          <w:color w:val="000000"/>
          <w:kern w:val="28"/>
        </w:rPr>
      </w:pPr>
      <w:r w:rsidRPr="004248E6">
        <w:rPr>
          <w:b/>
          <w:bCs/>
          <w:caps/>
          <w:color w:val="000000"/>
          <w:kern w:val="28"/>
        </w:rPr>
        <w:t>Inspectors’ role in evaluating the safety significance of findings</w:t>
      </w:r>
    </w:p>
    <w:p w:rsidR="00BE00B3" w:rsidRPr="004248E6" w:rsidRDefault="00BE00B3" w:rsidP="00BE00B3">
      <w:pPr>
        <w:numPr>
          <w:ilvl w:val="1"/>
          <w:numId w:val="3"/>
        </w:numPr>
        <w:tabs>
          <w:tab w:val="clear" w:pos="850"/>
          <w:tab w:val="clear" w:pos="1191"/>
          <w:tab w:val="clear" w:pos="1531"/>
          <w:tab w:val="left" w:pos="426"/>
        </w:tabs>
        <w:spacing w:after="200" w:line="276" w:lineRule="auto"/>
        <w:ind w:left="426" w:hanging="426"/>
        <w:contextualSpacing/>
        <w:rPr>
          <w:i/>
          <w:color w:val="000000"/>
        </w:rPr>
      </w:pPr>
      <w:r w:rsidRPr="004248E6">
        <w:rPr>
          <w:color w:val="000000"/>
        </w:rPr>
        <w:t xml:space="preserve">What is the starting point for the enforcement process in regulatory inspections conducted by the inspector (e.g. a finding, </w:t>
      </w:r>
      <w:proofErr w:type="gramStart"/>
      <w:r w:rsidRPr="004248E6">
        <w:rPr>
          <w:color w:val="000000"/>
        </w:rPr>
        <w:t>a non</w:t>
      </w:r>
      <w:proofErr w:type="gramEnd"/>
      <w:r w:rsidRPr="004248E6">
        <w:rPr>
          <w:color w:val="000000"/>
        </w:rPr>
        <w:t>-compliance, a violation, a wilful violation, etc.)?</w:t>
      </w:r>
    </w:p>
    <w:p w:rsidR="00BE00B3" w:rsidRPr="004248E6" w:rsidRDefault="00BE00B3" w:rsidP="00BE00B3">
      <w:pPr>
        <w:tabs>
          <w:tab w:val="clear" w:pos="850"/>
          <w:tab w:val="left" w:pos="426"/>
        </w:tabs>
        <w:spacing w:line="276" w:lineRule="auto"/>
        <w:ind w:left="426"/>
        <w:contextualSpacing/>
        <w:rPr>
          <w:i/>
          <w:color w:val="000000"/>
        </w:rPr>
      </w:pPr>
    </w:p>
    <w:p w:rsidR="00BE00B3" w:rsidRPr="007533E5" w:rsidRDefault="00BE00B3" w:rsidP="00BE00B3">
      <w:pPr>
        <w:numPr>
          <w:ilvl w:val="1"/>
          <w:numId w:val="3"/>
        </w:numPr>
        <w:tabs>
          <w:tab w:val="clear" w:pos="850"/>
          <w:tab w:val="clear" w:pos="1191"/>
          <w:tab w:val="clear" w:pos="1531"/>
          <w:tab w:val="left" w:pos="426"/>
        </w:tabs>
        <w:spacing w:after="200" w:line="276" w:lineRule="auto"/>
        <w:ind w:left="425" w:hanging="425"/>
        <w:rPr>
          <w:i/>
          <w:color w:val="000000"/>
        </w:rPr>
      </w:pPr>
      <w:r w:rsidRPr="004248E6">
        <w:rPr>
          <w:color w:val="000000"/>
        </w:rPr>
        <w:t>What is the inspectors’ role in evaluating the safety significance of the finding, non-compliance or any violation mentioned above?</w:t>
      </w:r>
    </w:p>
    <w:p w:rsidR="00BE00B3" w:rsidRPr="007533E5" w:rsidRDefault="00BE00B3" w:rsidP="00BE00B3">
      <w:pPr>
        <w:keepNext/>
        <w:keepLines/>
        <w:numPr>
          <w:ilvl w:val="0"/>
          <w:numId w:val="3"/>
        </w:numPr>
        <w:tabs>
          <w:tab w:val="clear" w:pos="850"/>
          <w:tab w:val="clear" w:pos="1191"/>
          <w:tab w:val="clear" w:pos="1531"/>
        </w:tabs>
        <w:spacing w:before="120" w:after="120" w:line="276" w:lineRule="auto"/>
        <w:ind w:left="284" w:hanging="284"/>
        <w:outlineLvl w:val="0"/>
        <w:rPr>
          <w:b/>
          <w:bCs/>
          <w:i/>
          <w:caps/>
          <w:color w:val="000000"/>
          <w:kern w:val="28"/>
        </w:rPr>
      </w:pPr>
      <w:r w:rsidRPr="004248E6">
        <w:rPr>
          <w:b/>
          <w:bCs/>
          <w:caps/>
          <w:color w:val="000000"/>
          <w:kern w:val="28"/>
        </w:rPr>
        <w:lastRenderedPageBreak/>
        <w:t>Inspectors’ role in the enforcement process</w:t>
      </w:r>
    </w:p>
    <w:p w:rsidR="00BE00B3" w:rsidRPr="007533E5" w:rsidRDefault="00BE00B3" w:rsidP="00BE00B3">
      <w:pPr>
        <w:numPr>
          <w:ilvl w:val="1"/>
          <w:numId w:val="3"/>
        </w:numPr>
        <w:tabs>
          <w:tab w:val="clear" w:pos="850"/>
          <w:tab w:val="clear" w:pos="1191"/>
          <w:tab w:val="clear" w:pos="1531"/>
          <w:tab w:val="left" w:pos="426"/>
        </w:tabs>
        <w:spacing w:before="120" w:after="120" w:line="276" w:lineRule="auto"/>
        <w:ind w:left="426" w:hanging="426"/>
        <w:rPr>
          <w:i/>
          <w:color w:val="000000"/>
        </w:rPr>
      </w:pPr>
      <w:r w:rsidRPr="004248E6">
        <w:rPr>
          <w:color w:val="000000"/>
        </w:rPr>
        <w:t>With respect to the graded enforcement options of the RB listed in foreword, what is the limit of the inspectors’ authority?</w:t>
      </w:r>
    </w:p>
    <w:p w:rsidR="00BE00B3" w:rsidRPr="007533E5" w:rsidRDefault="00BE00B3" w:rsidP="00BE00B3">
      <w:pPr>
        <w:numPr>
          <w:ilvl w:val="1"/>
          <w:numId w:val="3"/>
        </w:numPr>
        <w:tabs>
          <w:tab w:val="clear" w:pos="850"/>
          <w:tab w:val="clear" w:pos="1191"/>
          <w:tab w:val="clear" w:pos="1531"/>
          <w:tab w:val="left" w:pos="426"/>
        </w:tabs>
        <w:spacing w:before="120" w:after="120" w:line="276" w:lineRule="auto"/>
        <w:ind w:left="426" w:hanging="426"/>
        <w:rPr>
          <w:i/>
          <w:color w:val="000000"/>
        </w:rPr>
      </w:pPr>
      <w:r w:rsidRPr="004248E6">
        <w:rPr>
          <w:color w:val="000000"/>
        </w:rPr>
        <w:t xml:space="preserve">Does the inspector have discretion to choose enforcement options? </w:t>
      </w:r>
    </w:p>
    <w:p w:rsidR="00BE00B3" w:rsidRPr="007533E5" w:rsidRDefault="00BE00B3" w:rsidP="00BE00B3">
      <w:pPr>
        <w:numPr>
          <w:ilvl w:val="1"/>
          <w:numId w:val="3"/>
        </w:numPr>
        <w:tabs>
          <w:tab w:val="clear" w:pos="850"/>
          <w:tab w:val="clear" w:pos="1191"/>
          <w:tab w:val="clear" w:pos="1531"/>
          <w:tab w:val="left" w:pos="426"/>
        </w:tabs>
        <w:spacing w:before="120" w:after="120" w:line="276" w:lineRule="auto"/>
        <w:ind w:left="426" w:hanging="426"/>
        <w:rPr>
          <w:i/>
          <w:color w:val="000000"/>
        </w:rPr>
      </w:pPr>
      <w:r w:rsidRPr="004248E6">
        <w:rPr>
          <w:color w:val="000000"/>
        </w:rPr>
        <w:t>How is the enforcement power given to inspector? (</w:t>
      </w:r>
      <w:proofErr w:type="gramStart"/>
      <w:r w:rsidRPr="004248E6">
        <w:rPr>
          <w:color w:val="000000"/>
        </w:rPr>
        <w:t>i.e</w:t>
      </w:r>
      <w:proofErr w:type="gramEnd"/>
      <w:r w:rsidRPr="004248E6">
        <w:rPr>
          <w:color w:val="000000"/>
        </w:rPr>
        <w:t>. directly by legislative power; indirectly by Internal RB processes; etc.)</w:t>
      </w:r>
      <w:r w:rsidRPr="004248E6" w:rsidDel="00942C73">
        <w:rPr>
          <w:color w:val="000000"/>
        </w:rPr>
        <w:t xml:space="preserve"> </w:t>
      </w:r>
    </w:p>
    <w:p w:rsidR="00BE00B3" w:rsidRPr="007533E5" w:rsidRDefault="00BE00B3" w:rsidP="00BE00B3">
      <w:pPr>
        <w:numPr>
          <w:ilvl w:val="1"/>
          <w:numId w:val="3"/>
        </w:numPr>
        <w:tabs>
          <w:tab w:val="clear" w:pos="850"/>
          <w:tab w:val="clear" w:pos="1191"/>
          <w:tab w:val="clear" w:pos="1531"/>
          <w:tab w:val="left" w:pos="426"/>
        </w:tabs>
        <w:spacing w:before="120" w:after="120" w:line="276" w:lineRule="auto"/>
        <w:ind w:left="426" w:hanging="426"/>
        <w:rPr>
          <w:i/>
          <w:color w:val="000000"/>
        </w:rPr>
      </w:pPr>
      <w:r w:rsidRPr="004248E6">
        <w:rPr>
          <w:color w:val="000000"/>
        </w:rPr>
        <w:t>How does the inspector participate in the enforcement process of the RB once it has started?</w:t>
      </w:r>
    </w:p>
    <w:p w:rsidR="00BE00B3" w:rsidRPr="007533E5" w:rsidRDefault="00BE00B3" w:rsidP="00BE00B3">
      <w:pPr>
        <w:numPr>
          <w:ilvl w:val="1"/>
          <w:numId w:val="3"/>
        </w:numPr>
        <w:tabs>
          <w:tab w:val="clear" w:pos="850"/>
          <w:tab w:val="clear" w:pos="1191"/>
          <w:tab w:val="clear" w:pos="1531"/>
          <w:tab w:val="left" w:pos="426"/>
        </w:tabs>
        <w:spacing w:before="120" w:after="120" w:line="276" w:lineRule="auto"/>
        <w:ind w:left="426" w:hanging="426"/>
        <w:rPr>
          <w:i/>
          <w:color w:val="000000"/>
        </w:rPr>
      </w:pPr>
      <w:r w:rsidRPr="004248E6">
        <w:rPr>
          <w:color w:val="000000"/>
        </w:rPr>
        <w:t>Is there any written guidance for the inspectors concerning the RBs enforcement processes? Please describe briefly what kind of guidance or technical tools are available to the inspectors.</w:t>
      </w:r>
    </w:p>
    <w:p w:rsidR="00BE00B3" w:rsidRPr="007533E5" w:rsidRDefault="00BE00B3" w:rsidP="00BE00B3">
      <w:pPr>
        <w:numPr>
          <w:ilvl w:val="1"/>
          <w:numId w:val="3"/>
        </w:numPr>
        <w:tabs>
          <w:tab w:val="clear" w:pos="850"/>
          <w:tab w:val="clear" w:pos="1191"/>
          <w:tab w:val="clear" w:pos="1531"/>
          <w:tab w:val="left" w:pos="426"/>
        </w:tabs>
        <w:spacing w:before="120" w:after="120" w:line="276" w:lineRule="auto"/>
        <w:ind w:left="426" w:hanging="426"/>
        <w:rPr>
          <w:i/>
          <w:color w:val="000000"/>
        </w:rPr>
      </w:pPr>
      <w:r w:rsidRPr="004248E6">
        <w:rPr>
          <w:color w:val="000000"/>
        </w:rPr>
        <w:t>How does the RB ensure consistency in the inspectors’ behaviour in the enforcement processes?</w:t>
      </w:r>
    </w:p>
    <w:p w:rsidR="00BE00B3" w:rsidRPr="007533E5" w:rsidRDefault="00BE00B3" w:rsidP="00BE00B3">
      <w:pPr>
        <w:numPr>
          <w:ilvl w:val="1"/>
          <w:numId w:val="3"/>
        </w:numPr>
        <w:tabs>
          <w:tab w:val="clear" w:pos="850"/>
          <w:tab w:val="clear" w:pos="1191"/>
          <w:tab w:val="clear" w:pos="1531"/>
          <w:tab w:val="left" w:pos="426"/>
        </w:tabs>
        <w:spacing w:before="120" w:after="240" w:line="276" w:lineRule="auto"/>
        <w:ind w:left="425" w:hanging="425"/>
        <w:rPr>
          <w:i/>
          <w:color w:val="000000"/>
        </w:rPr>
      </w:pPr>
      <w:r w:rsidRPr="004248E6">
        <w:rPr>
          <w:color w:val="000000"/>
        </w:rPr>
        <w:t>Are the inspectors specifically trained in the topic of enforcement? (If yes, please describe briefly.)</w:t>
      </w:r>
    </w:p>
    <w:p w:rsidR="00BE00B3" w:rsidRPr="004248E6" w:rsidRDefault="00BE00B3" w:rsidP="00BE00B3">
      <w:pPr>
        <w:keepNext/>
        <w:keepLines/>
        <w:numPr>
          <w:ilvl w:val="0"/>
          <w:numId w:val="3"/>
        </w:numPr>
        <w:tabs>
          <w:tab w:val="clear" w:pos="850"/>
          <w:tab w:val="clear" w:pos="1191"/>
          <w:tab w:val="clear" w:pos="1531"/>
        </w:tabs>
        <w:spacing w:before="120" w:after="120" w:line="276" w:lineRule="auto"/>
        <w:ind w:left="284" w:hanging="284"/>
        <w:outlineLvl w:val="0"/>
        <w:rPr>
          <w:b/>
          <w:bCs/>
          <w:i/>
          <w:caps/>
          <w:color w:val="000000"/>
          <w:kern w:val="28"/>
        </w:rPr>
      </w:pPr>
      <w:r w:rsidRPr="004248E6">
        <w:rPr>
          <w:b/>
          <w:bCs/>
          <w:caps/>
          <w:color w:val="000000"/>
          <w:kern w:val="28"/>
        </w:rPr>
        <w:t xml:space="preserve"> Inspectors’ role in the Follow-up on the licensee`s response, e.g. verifying closure/fulfillment of licensees actions</w:t>
      </w:r>
    </w:p>
    <w:p w:rsidR="00BE00B3" w:rsidRPr="007533E5" w:rsidRDefault="00BE00B3" w:rsidP="00BE00B3">
      <w:pPr>
        <w:numPr>
          <w:ilvl w:val="1"/>
          <w:numId w:val="3"/>
        </w:numPr>
        <w:tabs>
          <w:tab w:val="clear" w:pos="850"/>
          <w:tab w:val="clear" w:pos="1191"/>
          <w:tab w:val="clear" w:pos="1531"/>
          <w:tab w:val="left" w:pos="426"/>
        </w:tabs>
        <w:spacing w:before="120" w:after="240" w:line="276" w:lineRule="auto"/>
        <w:ind w:left="425" w:hanging="425"/>
        <w:rPr>
          <w:i/>
          <w:color w:val="000000"/>
        </w:rPr>
      </w:pPr>
      <w:r w:rsidRPr="004248E6">
        <w:rPr>
          <w:color w:val="000000"/>
        </w:rPr>
        <w:t>Please describe briefly inspectors’ role.</w:t>
      </w:r>
    </w:p>
    <w:p w:rsidR="00FD5CF5" w:rsidRPr="00BE00B3" w:rsidRDefault="00BE00B3" w:rsidP="00BE00B3">
      <w:pPr>
        <w:keepNext/>
        <w:keepLines/>
        <w:numPr>
          <w:ilvl w:val="0"/>
          <w:numId w:val="3"/>
        </w:numPr>
        <w:tabs>
          <w:tab w:val="clear" w:pos="850"/>
          <w:tab w:val="clear" w:pos="1191"/>
          <w:tab w:val="clear" w:pos="1531"/>
        </w:tabs>
        <w:spacing w:before="120" w:after="120" w:line="276" w:lineRule="auto"/>
        <w:ind w:left="284" w:hanging="284"/>
        <w:outlineLvl w:val="0"/>
        <w:rPr>
          <w:b/>
          <w:bCs/>
          <w:i/>
          <w:caps/>
          <w:color w:val="000000"/>
          <w:kern w:val="28"/>
        </w:rPr>
      </w:pPr>
      <w:r w:rsidRPr="004248E6">
        <w:rPr>
          <w:b/>
          <w:bCs/>
          <w:caps/>
          <w:color w:val="000000"/>
          <w:kern w:val="28"/>
        </w:rPr>
        <w:t>What issue WOULD you like to discuss during the Workshop?</w:t>
      </w:r>
    </w:p>
    <w:sectPr w:rsidR="00FD5CF5" w:rsidRPr="00BE00B3" w:rsidSect="00902DDA">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97" w:rsidRDefault="00A20597" w:rsidP="00902DDA">
      <w:r>
        <w:separator/>
      </w:r>
    </w:p>
  </w:endnote>
  <w:endnote w:type="continuationSeparator" w:id="0">
    <w:p w:rsidR="00A20597" w:rsidRDefault="00A20597" w:rsidP="0090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65709"/>
      <w:docPartObj>
        <w:docPartGallery w:val="Page Numbers (Bottom of Page)"/>
        <w:docPartUnique/>
      </w:docPartObj>
    </w:sdtPr>
    <w:sdtEndPr>
      <w:rPr>
        <w:noProof/>
      </w:rPr>
    </w:sdtEndPr>
    <w:sdtContent>
      <w:p w:rsidR="00902DDA" w:rsidRDefault="00902DDA">
        <w:pPr>
          <w:pStyle w:val="Footer"/>
          <w:jc w:val="center"/>
        </w:pPr>
        <w:r>
          <w:fldChar w:fldCharType="begin"/>
        </w:r>
        <w:r>
          <w:instrText xml:space="preserve"> PAGE   \* MERGEFORMAT </w:instrText>
        </w:r>
        <w:r>
          <w:fldChar w:fldCharType="separate"/>
        </w:r>
        <w:r w:rsidR="00384109">
          <w:rPr>
            <w:noProof/>
          </w:rPr>
          <w:t>2</w:t>
        </w:r>
        <w:r>
          <w:rPr>
            <w:noProof/>
          </w:rPr>
          <w:fldChar w:fldCharType="end"/>
        </w:r>
      </w:p>
    </w:sdtContent>
  </w:sdt>
  <w:p w:rsidR="00902DDA" w:rsidRDefault="00902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79095"/>
      <w:docPartObj>
        <w:docPartGallery w:val="Page Numbers (Bottom of Page)"/>
        <w:docPartUnique/>
      </w:docPartObj>
    </w:sdtPr>
    <w:sdtEndPr>
      <w:rPr>
        <w:noProof/>
      </w:rPr>
    </w:sdtEndPr>
    <w:sdtContent>
      <w:p w:rsidR="00902DDA" w:rsidRDefault="00902DDA">
        <w:pPr>
          <w:pStyle w:val="Footer"/>
          <w:jc w:val="center"/>
        </w:pPr>
        <w:r>
          <w:fldChar w:fldCharType="begin"/>
        </w:r>
        <w:r>
          <w:instrText xml:space="preserve"> PAGE   \* MERGEFORMAT </w:instrText>
        </w:r>
        <w:r>
          <w:fldChar w:fldCharType="separate"/>
        </w:r>
        <w:r w:rsidR="00384109">
          <w:rPr>
            <w:noProof/>
          </w:rPr>
          <w:t>1</w:t>
        </w:r>
        <w:r>
          <w:rPr>
            <w:noProof/>
          </w:rPr>
          <w:fldChar w:fldCharType="end"/>
        </w:r>
      </w:p>
    </w:sdtContent>
  </w:sdt>
  <w:p w:rsidR="00902DDA" w:rsidRDefault="0090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97" w:rsidRDefault="00A20597" w:rsidP="00902DDA">
      <w:r>
        <w:separator/>
      </w:r>
    </w:p>
  </w:footnote>
  <w:footnote w:type="continuationSeparator" w:id="0">
    <w:p w:rsidR="00A20597" w:rsidRDefault="00A20597" w:rsidP="00902DDA">
      <w:r>
        <w:continuationSeparator/>
      </w:r>
    </w:p>
  </w:footnote>
  <w:footnote w:id="1">
    <w:p w:rsidR="00BE00B3" w:rsidRDefault="00BE00B3" w:rsidP="00BE00B3">
      <w:pPr>
        <w:pStyle w:val="FootnoteText"/>
        <w:tabs>
          <w:tab w:val="clear" w:pos="850"/>
        </w:tabs>
        <w:ind w:left="0" w:firstLine="0"/>
        <w:jc w:val="left"/>
        <w:rPr>
          <w:rStyle w:val="Hyperlink"/>
        </w:rPr>
      </w:pPr>
      <w:r>
        <w:rPr>
          <w:rStyle w:val="FootnoteReference"/>
        </w:rPr>
        <w:footnoteRef/>
      </w:r>
      <w:r>
        <w:rPr>
          <w:color w:val="000000"/>
        </w:rPr>
        <w:t>(</w:t>
      </w:r>
      <w:r w:rsidRPr="004E3574">
        <w:rPr>
          <w:color w:val="000000"/>
        </w:rPr>
        <w:t>NEA/CNRA/R(2005)1)</w:t>
      </w:r>
      <w:r>
        <w:rPr>
          <w:color w:val="000000"/>
        </w:rPr>
        <w:t xml:space="preserve">, see </w:t>
      </w:r>
      <w:hyperlink r:id="rId1" w:history="1">
        <w:r w:rsidRPr="000E7DA9">
          <w:rPr>
            <w:rStyle w:val="Hyperlink"/>
          </w:rPr>
          <w:t>http://www.oecd.org/officialdocuments/publicdisplaydocumentpdf/?cote=NEA/CNRA/R%282005%291&amp;docLanguage=En</w:t>
        </w:r>
      </w:hyperlink>
    </w:p>
    <w:p w:rsidR="00BE00B3" w:rsidRPr="007A2363" w:rsidRDefault="00BE00B3" w:rsidP="00BE00B3">
      <w:pPr>
        <w:pStyle w:val="FootnoteText"/>
        <w:rPr>
          <w:lang w:val="en-US"/>
        </w:rPr>
      </w:pPr>
    </w:p>
  </w:footnote>
  <w:footnote w:id="2">
    <w:p w:rsidR="00BE00B3" w:rsidRPr="007A2363" w:rsidRDefault="00BE00B3" w:rsidP="00BE00B3">
      <w:pPr>
        <w:pStyle w:val="FootnoteText"/>
        <w:rPr>
          <w:lang w:val="en-US"/>
        </w:rPr>
      </w:pPr>
      <w:r>
        <w:rPr>
          <w:rStyle w:val="FootnoteReference"/>
        </w:rPr>
        <w:footnoteRef/>
      </w:r>
      <w:r>
        <w:t xml:space="preserve"> </w:t>
      </w:r>
      <w:r>
        <w:rPr>
          <w:color w:val="000000"/>
        </w:rPr>
        <w:t>(IAEA GS-G-1.3</w:t>
      </w:r>
      <w:r w:rsidRPr="004E3574">
        <w:rPr>
          <w:color w:val="000000"/>
        </w:rPr>
        <w:t>)</w:t>
      </w:r>
      <w:r>
        <w:rPr>
          <w:color w:val="000000"/>
        </w:rPr>
        <w:t xml:space="preserve">, see </w:t>
      </w:r>
      <w:hyperlink r:id="rId2" w:history="1">
        <w:r>
          <w:rPr>
            <w:rStyle w:val="Hyperlink"/>
          </w:rPr>
          <w:t>http://www-pub.iaea.org/MTCD/publications/PDF/Pub1130_scr.pdf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A" w:rsidRPr="00902DDA" w:rsidRDefault="00902DDA" w:rsidP="00902DDA">
    <w:pPr>
      <w:pStyle w:val="Header"/>
      <w:tabs>
        <w:tab w:val="right" w:pos="9639"/>
      </w:tabs>
      <w:jc w:val="right"/>
      <w:rPr>
        <w:sz w:val="18"/>
        <w:szCs w:val="18"/>
      </w:rPr>
    </w:pPr>
    <w:r w:rsidRPr="00B0007F">
      <w:rPr>
        <w:sz w:val="18"/>
        <w:szCs w:val="18"/>
      </w:rPr>
      <w:t>1</w:t>
    </w:r>
    <w:r>
      <w:rPr>
        <w:sz w:val="18"/>
        <w:szCs w:val="18"/>
      </w:rPr>
      <w:t>3</w:t>
    </w:r>
    <w:r w:rsidRPr="002B74DC">
      <w:rPr>
        <w:sz w:val="18"/>
        <w:szCs w:val="18"/>
        <w:vertAlign w:val="superscript"/>
      </w:rPr>
      <w:t>th</w:t>
    </w:r>
    <w:r>
      <w:rPr>
        <w:sz w:val="18"/>
        <w:szCs w:val="18"/>
      </w:rPr>
      <w:t xml:space="preserve"> </w:t>
    </w:r>
    <w:r w:rsidRPr="00B0007F">
      <w:rPr>
        <w:sz w:val="18"/>
        <w:szCs w:val="18"/>
      </w:rPr>
      <w:t>International CNRA/</w:t>
    </w:r>
    <w:r>
      <w:rPr>
        <w:sz w:val="18"/>
        <w:szCs w:val="18"/>
      </w:rPr>
      <w:t>WGIP Workshop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A" w:rsidRDefault="00902DDA">
    <w:pPr>
      <w:pStyle w:val="Header"/>
    </w:pPr>
    <w:r w:rsidRPr="00B0007F">
      <w:rPr>
        <w:sz w:val="18"/>
        <w:szCs w:val="18"/>
      </w:rPr>
      <w:t>1</w:t>
    </w:r>
    <w:r>
      <w:rPr>
        <w:sz w:val="18"/>
        <w:szCs w:val="18"/>
      </w:rPr>
      <w:t>3</w:t>
    </w:r>
    <w:r w:rsidRPr="002B74DC">
      <w:rPr>
        <w:sz w:val="18"/>
        <w:szCs w:val="18"/>
        <w:vertAlign w:val="superscript"/>
      </w:rPr>
      <w:t>th</w:t>
    </w:r>
    <w:r>
      <w:rPr>
        <w:sz w:val="18"/>
        <w:szCs w:val="18"/>
      </w:rPr>
      <w:t xml:space="preserve"> </w:t>
    </w:r>
    <w:r w:rsidRPr="00B0007F">
      <w:rPr>
        <w:sz w:val="18"/>
        <w:szCs w:val="18"/>
      </w:rPr>
      <w:t>International CNRA/</w:t>
    </w:r>
    <w:r>
      <w:rPr>
        <w:sz w:val="18"/>
        <w:szCs w:val="18"/>
      </w:rPr>
      <w:t>WGIP Workshop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10DE36C9"/>
    <w:multiLevelType w:val="hybridMultilevel"/>
    <w:tmpl w:val="5D448406"/>
    <w:lvl w:ilvl="0" w:tplc="7D4C707C">
      <w:start w:val="1"/>
      <w:numFmt w:val="decimal"/>
      <w:lvlText w:val="%1."/>
      <w:lvlJc w:val="left"/>
      <w:pPr>
        <w:ind w:left="45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8576B58"/>
    <w:multiLevelType w:val="multilevel"/>
    <w:tmpl w:val="095204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DA"/>
    <w:rsid w:val="00384109"/>
    <w:rsid w:val="00902DDA"/>
    <w:rsid w:val="00A20597"/>
    <w:rsid w:val="00B341A7"/>
    <w:rsid w:val="00BE00B3"/>
    <w:rsid w:val="00DF7FA1"/>
    <w:rsid w:val="00F93B04"/>
    <w:rsid w:val="00FD5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A"/>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902DDA"/>
    <w:pPr>
      <w:keepNext/>
      <w:keepLines/>
      <w:spacing w:before="200"/>
      <w:outlineLvl w:val="2"/>
    </w:pPr>
    <w:rPr>
      <w:rFonts w:eastAsiaTheme="majorEastAsia" w:cstheme="majorBid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rsid w:val="00902DDA"/>
    <w:rPr>
      <w:rFonts w:ascii="Times New Roman" w:eastAsiaTheme="majorEastAsia" w:hAnsi="Times New Roman" w:cstheme="majorBidi"/>
      <w:b/>
      <w:bCs/>
      <w:i/>
      <w:sz w:val="20"/>
      <w:szCs w:val="20"/>
      <w:lang w:eastAsia="zh-CN"/>
    </w:rPr>
  </w:style>
  <w:style w:type="character" w:styleId="Hyperlink">
    <w:name w:val="Hyperlink"/>
    <w:semiHidden/>
    <w:unhideWhenUsed/>
    <w:rsid w:val="00902DDA"/>
    <w:rPr>
      <w:noProof w:val="0"/>
      <w:color w:val="0000FF"/>
      <w:u w:val="single"/>
      <w:lang w:val="en-GB"/>
    </w:rPr>
  </w:style>
  <w:style w:type="paragraph" w:styleId="FootnoteText">
    <w:name w:val="footnote text"/>
    <w:basedOn w:val="Normal"/>
    <w:link w:val="FootnoteTextChar"/>
    <w:semiHidden/>
    <w:unhideWhenUsed/>
    <w:rsid w:val="00902DDA"/>
    <w:pPr>
      <w:spacing w:after="120"/>
      <w:ind w:left="850" w:hanging="850"/>
    </w:pPr>
    <w:rPr>
      <w:sz w:val="20"/>
      <w:szCs w:val="20"/>
    </w:rPr>
  </w:style>
  <w:style w:type="character" w:customStyle="1" w:styleId="FootnoteTextChar">
    <w:name w:val="Footnote Text Char"/>
    <w:basedOn w:val="DefaultParagraphFont"/>
    <w:link w:val="FootnoteText"/>
    <w:semiHidden/>
    <w:rsid w:val="00902DDA"/>
    <w:rPr>
      <w:rFonts w:ascii="Times New Roman" w:eastAsia="Times New Roman" w:hAnsi="Times New Roman" w:cs="Times New Roman"/>
      <w:sz w:val="20"/>
      <w:szCs w:val="20"/>
      <w:lang w:eastAsia="zh-CN"/>
    </w:rPr>
  </w:style>
  <w:style w:type="paragraph" w:styleId="ListBullet">
    <w:name w:val="List Bullet"/>
    <w:basedOn w:val="Normal"/>
    <w:unhideWhenUsed/>
    <w:rsid w:val="00902DDA"/>
    <w:pPr>
      <w:numPr>
        <w:numId w:val="1"/>
      </w:numPr>
      <w:tabs>
        <w:tab w:val="clear" w:pos="1191"/>
        <w:tab w:val="clear" w:pos="1531"/>
      </w:tabs>
      <w:spacing w:after="240"/>
    </w:pPr>
  </w:style>
  <w:style w:type="paragraph" w:styleId="BodyText">
    <w:name w:val="Body Text"/>
    <w:basedOn w:val="Normal"/>
    <w:link w:val="BodyTextChar"/>
    <w:semiHidden/>
    <w:unhideWhenUsed/>
    <w:rsid w:val="00902DDA"/>
    <w:pPr>
      <w:spacing w:after="240"/>
      <w:ind w:firstLine="442"/>
    </w:pPr>
  </w:style>
  <w:style w:type="character" w:customStyle="1" w:styleId="BodyTextChar">
    <w:name w:val="Body Text Char"/>
    <w:basedOn w:val="DefaultParagraphFont"/>
    <w:link w:val="BodyText"/>
    <w:semiHidden/>
    <w:rsid w:val="00902DDA"/>
    <w:rPr>
      <w:rFonts w:ascii="Times New Roman" w:eastAsia="Times New Roman" w:hAnsi="Times New Roman" w:cs="Times New Roman"/>
      <w:lang w:eastAsia="zh-CN"/>
    </w:rPr>
  </w:style>
  <w:style w:type="character" w:styleId="FootnoteReference">
    <w:name w:val="footnote reference"/>
    <w:basedOn w:val="DefaultParagraphFont"/>
    <w:uiPriority w:val="99"/>
    <w:semiHidden/>
    <w:unhideWhenUsed/>
    <w:rsid w:val="00902DDA"/>
    <w:rPr>
      <w:vertAlign w:val="superscript"/>
    </w:rPr>
  </w:style>
  <w:style w:type="paragraph" w:styleId="Header">
    <w:name w:val="header"/>
    <w:basedOn w:val="Normal"/>
    <w:link w:val="HeaderChar"/>
    <w:unhideWhenUsed/>
    <w:rsid w:val="00902DDA"/>
    <w:pPr>
      <w:tabs>
        <w:tab w:val="clear" w:pos="850"/>
        <w:tab w:val="clear" w:pos="1191"/>
        <w:tab w:val="clear" w:pos="1531"/>
        <w:tab w:val="center" w:pos="4513"/>
        <w:tab w:val="right" w:pos="9026"/>
      </w:tabs>
    </w:pPr>
  </w:style>
  <w:style w:type="character" w:customStyle="1" w:styleId="HeaderChar">
    <w:name w:val="Header Char"/>
    <w:basedOn w:val="DefaultParagraphFont"/>
    <w:link w:val="Header"/>
    <w:rsid w:val="00902DDA"/>
    <w:rPr>
      <w:rFonts w:ascii="Times New Roman" w:eastAsia="Times New Roman" w:hAnsi="Times New Roman" w:cs="Times New Roman"/>
      <w:lang w:eastAsia="zh-CN"/>
    </w:rPr>
  </w:style>
  <w:style w:type="paragraph" w:styleId="Footer">
    <w:name w:val="footer"/>
    <w:basedOn w:val="Normal"/>
    <w:link w:val="FooterChar"/>
    <w:uiPriority w:val="99"/>
    <w:unhideWhenUsed/>
    <w:rsid w:val="00902DDA"/>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902DDA"/>
    <w:rPr>
      <w:rFonts w:ascii="Times New Roman" w:eastAsia="Times New Roman" w:hAnsi="Times New Roman" w:cs="Times New Roman"/>
      <w:lang w:eastAsia="zh-CN"/>
    </w:rPr>
  </w:style>
  <w:style w:type="paragraph" w:customStyle="1" w:styleId="Num-DocParagraph">
    <w:name w:val="Num-Doc Paragraph"/>
    <w:basedOn w:val="BodyText"/>
    <w:rsid w:val="00BE00B3"/>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A"/>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902DDA"/>
    <w:pPr>
      <w:keepNext/>
      <w:keepLines/>
      <w:spacing w:before="200"/>
      <w:outlineLvl w:val="2"/>
    </w:pPr>
    <w:rPr>
      <w:rFonts w:eastAsiaTheme="majorEastAsia" w:cstheme="majorBid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rsid w:val="00902DDA"/>
    <w:rPr>
      <w:rFonts w:ascii="Times New Roman" w:eastAsiaTheme="majorEastAsia" w:hAnsi="Times New Roman" w:cstheme="majorBidi"/>
      <w:b/>
      <w:bCs/>
      <w:i/>
      <w:sz w:val="20"/>
      <w:szCs w:val="20"/>
      <w:lang w:eastAsia="zh-CN"/>
    </w:rPr>
  </w:style>
  <w:style w:type="character" w:styleId="Hyperlink">
    <w:name w:val="Hyperlink"/>
    <w:semiHidden/>
    <w:unhideWhenUsed/>
    <w:rsid w:val="00902DDA"/>
    <w:rPr>
      <w:noProof w:val="0"/>
      <w:color w:val="0000FF"/>
      <w:u w:val="single"/>
      <w:lang w:val="en-GB"/>
    </w:rPr>
  </w:style>
  <w:style w:type="paragraph" w:styleId="FootnoteText">
    <w:name w:val="footnote text"/>
    <w:basedOn w:val="Normal"/>
    <w:link w:val="FootnoteTextChar"/>
    <w:semiHidden/>
    <w:unhideWhenUsed/>
    <w:rsid w:val="00902DDA"/>
    <w:pPr>
      <w:spacing w:after="120"/>
      <w:ind w:left="850" w:hanging="850"/>
    </w:pPr>
    <w:rPr>
      <w:sz w:val="20"/>
      <w:szCs w:val="20"/>
    </w:rPr>
  </w:style>
  <w:style w:type="character" w:customStyle="1" w:styleId="FootnoteTextChar">
    <w:name w:val="Footnote Text Char"/>
    <w:basedOn w:val="DefaultParagraphFont"/>
    <w:link w:val="FootnoteText"/>
    <w:semiHidden/>
    <w:rsid w:val="00902DDA"/>
    <w:rPr>
      <w:rFonts w:ascii="Times New Roman" w:eastAsia="Times New Roman" w:hAnsi="Times New Roman" w:cs="Times New Roman"/>
      <w:sz w:val="20"/>
      <w:szCs w:val="20"/>
      <w:lang w:eastAsia="zh-CN"/>
    </w:rPr>
  </w:style>
  <w:style w:type="paragraph" w:styleId="ListBullet">
    <w:name w:val="List Bullet"/>
    <w:basedOn w:val="Normal"/>
    <w:unhideWhenUsed/>
    <w:rsid w:val="00902DDA"/>
    <w:pPr>
      <w:numPr>
        <w:numId w:val="1"/>
      </w:numPr>
      <w:tabs>
        <w:tab w:val="clear" w:pos="1191"/>
        <w:tab w:val="clear" w:pos="1531"/>
      </w:tabs>
      <w:spacing w:after="240"/>
    </w:pPr>
  </w:style>
  <w:style w:type="paragraph" w:styleId="BodyText">
    <w:name w:val="Body Text"/>
    <w:basedOn w:val="Normal"/>
    <w:link w:val="BodyTextChar"/>
    <w:semiHidden/>
    <w:unhideWhenUsed/>
    <w:rsid w:val="00902DDA"/>
    <w:pPr>
      <w:spacing w:after="240"/>
      <w:ind w:firstLine="442"/>
    </w:pPr>
  </w:style>
  <w:style w:type="character" w:customStyle="1" w:styleId="BodyTextChar">
    <w:name w:val="Body Text Char"/>
    <w:basedOn w:val="DefaultParagraphFont"/>
    <w:link w:val="BodyText"/>
    <w:semiHidden/>
    <w:rsid w:val="00902DDA"/>
    <w:rPr>
      <w:rFonts w:ascii="Times New Roman" w:eastAsia="Times New Roman" w:hAnsi="Times New Roman" w:cs="Times New Roman"/>
      <w:lang w:eastAsia="zh-CN"/>
    </w:rPr>
  </w:style>
  <w:style w:type="character" w:styleId="FootnoteReference">
    <w:name w:val="footnote reference"/>
    <w:basedOn w:val="DefaultParagraphFont"/>
    <w:uiPriority w:val="99"/>
    <w:semiHidden/>
    <w:unhideWhenUsed/>
    <w:rsid w:val="00902DDA"/>
    <w:rPr>
      <w:vertAlign w:val="superscript"/>
    </w:rPr>
  </w:style>
  <w:style w:type="paragraph" w:styleId="Header">
    <w:name w:val="header"/>
    <w:basedOn w:val="Normal"/>
    <w:link w:val="HeaderChar"/>
    <w:unhideWhenUsed/>
    <w:rsid w:val="00902DDA"/>
    <w:pPr>
      <w:tabs>
        <w:tab w:val="clear" w:pos="850"/>
        <w:tab w:val="clear" w:pos="1191"/>
        <w:tab w:val="clear" w:pos="1531"/>
        <w:tab w:val="center" w:pos="4513"/>
        <w:tab w:val="right" w:pos="9026"/>
      </w:tabs>
    </w:pPr>
  </w:style>
  <w:style w:type="character" w:customStyle="1" w:styleId="HeaderChar">
    <w:name w:val="Header Char"/>
    <w:basedOn w:val="DefaultParagraphFont"/>
    <w:link w:val="Header"/>
    <w:rsid w:val="00902DDA"/>
    <w:rPr>
      <w:rFonts w:ascii="Times New Roman" w:eastAsia="Times New Roman" w:hAnsi="Times New Roman" w:cs="Times New Roman"/>
      <w:lang w:eastAsia="zh-CN"/>
    </w:rPr>
  </w:style>
  <w:style w:type="paragraph" w:styleId="Footer">
    <w:name w:val="footer"/>
    <w:basedOn w:val="Normal"/>
    <w:link w:val="FooterChar"/>
    <w:uiPriority w:val="99"/>
    <w:unhideWhenUsed/>
    <w:rsid w:val="00902DDA"/>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902DDA"/>
    <w:rPr>
      <w:rFonts w:ascii="Times New Roman" w:eastAsia="Times New Roman" w:hAnsi="Times New Roman" w:cs="Times New Roman"/>
      <w:lang w:eastAsia="zh-CN"/>
    </w:rPr>
  </w:style>
  <w:style w:type="paragraph" w:customStyle="1" w:styleId="Num-DocParagraph">
    <w:name w:val="Num-Doc Paragraph"/>
    <w:basedOn w:val="BodyText"/>
    <w:rsid w:val="00BE00B3"/>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ane.jackson@oecd.org" TargetMode="External"/><Relationship Id="rId4" Type="http://schemas.microsoft.com/office/2007/relationships/stylesWithEffects" Target="stylesWithEffects.xml"/><Relationship Id="rId9" Type="http://schemas.openxmlformats.org/officeDocument/2006/relationships/hyperlink" Target="mailto:nancy.salgado@oecd.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ub.iaea.org/MTCD/publications/PDF/Pub1130_scr.pdf" TargetMode="External"/><Relationship Id="rId1" Type="http://schemas.openxmlformats.org/officeDocument/2006/relationships/hyperlink" Target="http://www.oecd.org/officialdocuments/publicdisplaydocumentpdf/?cote=NEA/CNRA/R%282005%29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76AE-173F-4D27-91A0-F15E41A0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International CNRA/WGIP Workshop 2016 - Questionnaire C: The Inspectors’ Role in the Enforcement Process</dc:title>
  <dc:creator>NEA</dc:creator>
  <dc:description/>
  <cp:lastModifiedBy>Angres Danielle</cp:lastModifiedBy>
  <cp:revision>4</cp:revision>
  <dcterms:created xsi:type="dcterms:W3CDTF">2016-01-05T09:59:00Z</dcterms:created>
  <dcterms:modified xsi:type="dcterms:W3CDTF">2016-01-05T10:04:00Z</dcterms:modified>
</cp:coreProperties>
</file>