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4" w:rsidRDefault="00224424" w:rsidP="00224424"/>
    <w:p w:rsidR="00224424" w:rsidRPr="007533E5" w:rsidRDefault="00224424" w:rsidP="00224424">
      <w:pPr>
        <w:tabs>
          <w:tab w:val="clear" w:pos="850"/>
          <w:tab w:val="clear" w:pos="1191"/>
          <w:tab w:val="clear" w:pos="1531"/>
        </w:tabs>
        <w:spacing w:after="200" w:line="276" w:lineRule="auto"/>
        <w:jc w:val="center"/>
        <w:rPr>
          <w:b/>
          <w:i/>
          <w:smallCaps/>
          <w:sz w:val="28"/>
          <w:szCs w:val="28"/>
        </w:rPr>
      </w:pPr>
      <w:bookmarkStart w:id="0" w:name="_GoBack"/>
      <w:r w:rsidRPr="007533E5">
        <w:rPr>
          <w:b/>
          <w:smallCaps/>
          <w:sz w:val="28"/>
          <w:szCs w:val="28"/>
        </w:rPr>
        <w:t>Questionnaire B</w:t>
      </w:r>
    </w:p>
    <w:p w:rsidR="00224424" w:rsidRPr="00980D46" w:rsidRDefault="00224424" w:rsidP="00224424">
      <w:pPr>
        <w:pStyle w:val="BodyText"/>
        <w:jc w:val="center"/>
        <w:rPr>
          <w:b/>
          <w:i/>
          <w:sz w:val="28"/>
          <w:szCs w:val="28"/>
          <w:u w:val="single"/>
        </w:rPr>
      </w:pPr>
      <w:r>
        <w:rPr>
          <w:b/>
          <w:sz w:val="28"/>
          <w:szCs w:val="28"/>
        </w:rPr>
        <w:t>Inspection of Modifications</w:t>
      </w:r>
    </w:p>
    <w:bookmarkEnd w:id="0"/>
    <w:p w:rsidR="00224424" w:rsidRPr="005D5636" w:rsidRDefault="00224424" w:rsidP="00224424">
      <w:pPr>
        <w:pStyle w:val="BodyText"/>
        <w:jc w:val="center"/>
        <w:rPr>
          <w:sz w:val="28"/>
          <w:szCs w:val="28"/>
        </w:rPr>
      </w:pPr>
      <w:r w:rsidRPr="005D5636">
        <w:rPr>
          <w:sz w:val="28"/>
          <w:szCs w:val="28"/>
        </w:rPr>
        <w:t>Country: _____________</w:t>
      </w:r>
    </w:p>
    <w:p w:rsidR="00224424" w:rsidRPr="00980D46" w:rsidRDefault="00224424" w:rsidP="00224424">
      <w:pPr>
        <w:pStyle w:val="Heading3"/>
      </w:pPr>
      <w:r w:rsidRPr="00980D46">
        <w:t>Notes:</w:t>
      </w:r>
    </w:p>
    <w:p w:rsidR="00224424" w:rsidRDefault="00224424" w:rsidP="00224424">
      <w:pPr>
        <w:pStyle w:val="ListBullet"/>
        <w:numPr>
          <w:ilvl w:val="0"/>
          <w:numId w:val="0"/>
        </w:numPr>
        <w:tabs>
          <w:tab w:val="num" w:pos="567"/>
        </w:tabs>
        <w:ind w:left="567"/>
        <w:rPr>
          <w:i/>
        </w:rPr>
      </w:pPr>
      <w:r w:rsidRPr="00A74BDF">
        <w:t>Only one response per country is required. If more than one person from your country is participating, please co-ordinate the responses accordingly.</w:t>
      </w:r>
    </w:p>
    <w:p w:rsidR="00224424" w:rsidRDefault="00224424" w:rsidP="00224424">
      <w:pPr>
        <w:pStyle w:val="ListBullet"/>
        <w:numPr>
          <w:ilvl w:val="0"/>
          <w:numId w:val="0"/>
        </w:numPr>
        <w:tabs>
          <w:tab w:val="num" w:pos="567"/>
        </w:tabs>
        <w:ind w:left="567"/>
        <w:rPr>
          <w:i/>
        </w:rPr>
      </w:pPr>
      <w:r w:rsidRPr="00FE0FBC">
        <w:t xml:space="preserve">Submittals should be sent by email to: </w:t>
      </w:r>
      <w:hyperlink r:id="rId9" w:history="1">
        <w:r w:rsidRPr="00FE0FBC">
          <w:rPr>
            <w:rStyle w:val="Hyperlink"/>
            <w:i/>
          </w:rPr>
          <w:t>nancy.salgado@oecd.org</w:t>
        </w:r>
      </w:hyperlink>
      <w:r w:rsidRPr="00FE0FBC">
        <w:t xml:space="preserve"> by </w:t>
      </w:r>
      <w:r>
        <w:t>17</w:t>
      </w:r>
      <w:r w:rsidRPr="00FE0FBC">
        <w:t xml:space="preserve"> February 201</w:t>
      </w:r>
      <w:r>
        <w:t>6.</w:t>
      </w:r>
    </w:p>
    <w:p w:rsidR="00224424" w:rsidRPr="007533E5" w:rsidRDefault="00224424" w:rsidP="00224424">
      <w:pPr>
        <w:rPr>
          <w:b/>
          <w:bCs/>
          <w:i/>
          <w:lang w:val="en-CA"/>
        </w:rPr>
      </w:pPr>
      <w:r w:rsidRPr="003632A6">
        <w:rPr>
          <w:b/>
          <w:bCs/>
          <w:lang w:val="en-CA"/>
        </w:rPr>
        <w:t>FORWARD</w:t>
      </w:r>
    </w:p>
    <w:p w:rsidR="00224424" w:rsidRPr="007533E5" w:rsidRDefault="00224424" w:rsidP="00224424">
      <w:pPr>
        <w:spacing w:before="120" w:after="120"/>
        <w:rPr>
          <w:i/>
        </w:rPr>
      </w:pPr>
      <w:r w:rsidRPr="003632A6">
        <w:t>The purpose of the task is to identify commendable inspection practices regarding the licensees’ control of modifications, with particular attention to temporary modifications and changes to systems, structures and components (SSCs) related to obsolescence, or operational experience. The focus on temporary modifications takes account of earlier workshops already addressing permanent modifications and identifying associated commendable practices. (International WGIP-Workshop Helsinki, 23-25 May 1994, NEA/CNRA/</w:t>
      </w:r>
      <w:proofErr w:type="gramStart"/>
      <w:r w:rsidRPr="003632A6">
        <w:t>R(</w:t>
      </w:r>
      <w:proofErr w:type="gramEnd"/>
      <w:r w:rsidRPr="003632A6">
        <w:t>94)4).</w:t>
      </w:r>
    </w:p>
    <w:p w:rsidR="00224424" w:rsidRPr="003632A6" w:rsidRDefault="00224424" w:rsidP="00224424">
      <w:pPr>
        <w:spacing w:before="120" w:after="120"/>
        <w:rPr>
          <w:i/>
          <w:lang w:val="en-CA"/>
        </w:rPr>
      </w:pPr>
      <w:r w:rsidRPr="003632A6">
        <w:rPr>
          <w:lang w:val="en-CA"/>
        </w:rPr>
        <w:t>The task also considers the regulatory approach to the use of non-identical replacement parts. These types of changes are characterised by replacement of defective or obsolete equipment or components by items which appear identical in that they fit into the existing connections or components, they have the same shape, size, colour, etc., and they deliver the same role by functioning in a similar manner. However they are typically not a replacement part sourced from the Original Equipment Manufacturer (OEM), and some internal parts, material specifications, and other attributes could vary. The decision to regulate them as modifications, or replacements could impact on the degree of licensee and regulatory scrutiny.</w:t>
      </w:r>
    </w:p>
    <w:p w:rsidR="00224424" w:rsidRPr="007533E5" w:rsidRDefault="00224424" w:rsidP="00224424">
      <w:pPr>
        <w:spacing w:before="120" w:after="120"/>
        <w:rPr>
          <w:b/>
          <w:bCs/>
          <w:i/>
          <w:lang w:val="en-CA"/>
        </w:rPr>
      </w:pPr>
      <w:r w:rsidRPr="003632A6">
        <w:rPr>
          <w:b/>
          <w:bCs/>
          <w:lang w:val="en-CA"/>
        </w:rPr>
        <w:t>QUESTIONNNAIRE</w:t>
      </w:r>
    </w:p>
    <w:p w:rsidR="00224424" w:rsidRPr="003632A6" w:rsidRDefault="00224424" w:rsidP="00224424">
      <w:pPr>
        <w:spacing w:before="120" w:after="120"/>
        <w:rPr>
          <w:i/>
          <w:lang w:val="en-CA"/>
        </w:rPr>
      </w:pPr>
      <w:r w:rsidRPr="003632A6">
        <w:rPr>
          <w:lang w:val="en-CA"/>
        </w:rPr>
        <w:t>For preparation of the workshop, participants are invited to supply their national inspection approaches used according to the following questionnaire:</w:t>
      </w:r>
    </w:p>
    <w:p w:rsidR="00224424" w:rsidRPr="007533E5" w:rsidRDefault="00224424" w:rsidP="00224424">
      <w:pPr>
        <w:spacing w:before="120" w:after="120"/>
        <w:rPr>
          <w:b/>
          <w:i/>
          <w:lang w:val="en-CA"/>
        </w:rPr>
      </w:pPr>
      <w:r w:rsidRPr="003632A6">
        <w:rPr>
          <w:b/>
          <w:lang w:val="en-CA"/>
        </w:rPr>
        <w:t>TEMPORARY MODIFICATIONS</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Does your RB have a definition of a temporary modification (e.g. limited in time)? If so, please supply the definition.</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Does your RB have a different oversight process for temporary modifications and permanent modifications? If yes, what are the key differences?</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Does your RB inspect temporary modifications?</w:t>
      </w:r>
    </w:p>
    <w:p w:rsidR="00224424" w:rsidRPr="003632A6" w:rsidRDefault="00224424" w:rsidP="00224424">
      <w:pPr>
        <w:numPr>
          <w:ilvl w:val="1"/>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 xml:space="preserve">If yes, how does the RB inspector choose which temporary modifications to inspect? </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How is the aggregation of modifications considered by the RB? (for  instance the fact that multiple “small” modifications can interact)</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Is permission needed from the RB before a temporary modification is started, extended, removed or made permanent?</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What is the scope of the inspections performed by the RB during the lifetime of a temporary modification?</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lastRenderedPageBreak/>
        <w:t>What experience does the RB have of difficulties or problems associated with temporary modifications? Do you perform analysis of this experience and what are the main causes of problems associated with temporary modifications? Please provide specific examples.</w:t>
      </w:r>
    </w:p>
    <w:p w:rsidR="00224424" w:rsidRPr="003632A6" w:rsidRDefault="00224424" w:rsidP="00224424">
      <w:pPr>
        <w:spacing w:after="120"/>
        <w:rPr>
          <w:b/>
          <w:i/>
          <w:lang w:val="en-CA"/>
        </w:rPr>
      </w:pPr>
      <w:r w:rsidRPr="003632A6">
        <w:rPr>
          <w:b/>
          <w:lang w:val="en-CA"/>
        </w:rPr>
        <w:t>NON-IDENTICAL REPLACEMENT PARTS</w:t>
      </w:r>
    </w:p>
    <w:p w:rsidR="00224424" w:rsidRPr="003632A6" w:rsidRDefault="00224424" w:rsidP="00224424">
      <w:pPr>
        <w:numPr>
          <w:ilvl w:val="0"/>
          <w:numId w:val="3"/>
        </w:numPr>
        <w:tabs>
          <w:tab w:val="clear" w:pos="850"/>
          <w:tab w:val="clear" w:pos="1191"/>
          <w:tab w:val="clear" w:pos="1531"/>
        </w:tabs>
        <w:autoSpaceDE w:val="0"/>
        <w:autoSpaceDN w:val="0"/>
        <w:spacing w:after="120" w:line="276" w:lineRule="auto"/>
        <w:ind w:left="993" w:hanging="426"/>
        <w:rPr>
          <w:i/>
          <w:lang w:val="en-CA"/>
        </w:rPr>
      </w:pPr>
      <w:r w:rsidRPr="003632A6">
        <w:rPr>
          <w:lang w:val="en-CA"/>
        </w:rPr>
        <w:t>If the licensee does not utilise identical replacement parts sourced from the Original Equipment Manufacturer (OEM); under what criteria does your RB permit the change to be considered as a replacement rather than a modification?</w:t>
      </w:r>
    </w:p>
    <w:p w:rsidR="00224424" w:rsidRPr="003632A6" w:rsidRDefault="00224424" w:rsidP="00224424">
      <w:pPr>
        <w:numPr>
          <w:ilvl w:val="1"/>
          <w:numId w:val="3"/>
        </w:numPr>
        <w:tabs>
          <w:tab w:val="clear" w:pos="850"/>
          <w:tab w:val="clear" w:pos="1191"/>
          <w:tab w:val="clear" w:pos="1531"/>
        </w:tabs>
        <w:autoSpaceDE w:val="0"/>
        <w:autoSpaceDN w:val="0"/>
        <w:spacing w:after="120" w:line="276" w:lineRule="auto"/>
        <w:ind w:left="1276" w:hanging="283"/>
        <w:rPr>
          <w:i/>
          <w:lang w:val="en-CA"/>
        </w:rPr>
      </w:pPr>
      <w:r w:rsidRPr="003632A6">
        <w:rPr>
          <w:lang w:val="en-CA"/>
        </w:rPr>
        <w:t xml:space="preserve">What variation compared to the original is permitted? (E.g. considering the specification, manufacturer, quality standard, safety function, materials, technology, shape, size, connections, etc.). </w:t>
      </w:r>
    </w:p>
    <w:p w:rsidR="00224424" w:rsidRPr="003632A6" w:rsidRDefault="00224424" w:rsidP="00224424">
      <w:pPr>
        <w:numPr>
          <w:ilvl w:val="1"/>
          <w:numId w:val="3"/>
        </w:numPr>
        <w:tabs>
          <w:tab w:val="clear" w:pos="850"/>
          <w:tab w:val="clear" w:pos="1191"/>
          <w:tab w:val="clear" w:pos="1531"/>
        </w:tabs>
        <w:autoSpaceDE w:val="0"/>
        <w:autoSpaceDN w:val="0"/>
        <w:spacing w:after="120" w:line="276" w:lineRule="auto"/>
        <w:ind w:left="1276" w:hanging="283"/>
        <w:rPr>
          <w:i/>
          <w:lang w:val="en-CA"/>
        </w:rPr>
      </w:pPr>
      <w:r w:rsidRPr="003632A6">
        <w:rPr>
          <w:lang w:val="en-CA"/>
        </w:rPr>
        <w:t>What is the oversight process of your RB to ensure the licensee maintains the safety of such changes?</w:t>
      </w:r>
    </w:p>
    <w:p w:rsidR="00FD5CF5" w:rsidRPr="00224424" w:rsidRDefault="00224424" w:rsidP="00224424">
      <w:pPr>
        <w:spacing w:after="120"/>
        <w:rPr>
          <w:i/>
          <w:lang w:val="en-CA"/>
        </w:rPr>
      </w:pPr>
      <w:r w:rsidRPr="003632A6">
        <w:rPr>
          <w:lang w:val="en-CA"/>
        </w:rPr>
        <w:t>Do you have other related topics that you want to be discussed during the workshop?</w:t>
      </w:r>
    </w:p>
    <w:sectPr w:rsidR="00FD5CF5" w:rsidRPr="00224424" w:rsidSect="00902DD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85" w:rsidRDefault="00106485" w:rsidP="00902DDA">
      <w:r>
        <w:separator/>
      </w:r>
    </w:p>
  </w:endnote>
  <w:endnote w:type="continuationSeparator" w:id="0">
    <w:p w:rsidR="00106485" w:rsidRDefault="00106485" w:rsidP="0090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65709"/>
      <w:docPartObj>
        <w:docPartGallery w:val="Page Numbers (Bottom of Page)"/>
        <w:docPartUnique/>
      </w:docPartObj>
    </w:sdtPr>
    <w:sdtEndPr>
      <w:rPr>
        <w:noProof/>
      </w:rPr>
    </w:sdtEndPr>
    <w:sdtContent>
      <w:p w:rsidR="00902DDA" w:rsidRDefault="00902DDA">
        <w:pPr>
          <w:pStyle w:val="Footer"/>
          <w:jc w:val="center"/>
        </w:pPr>
        <w:r>
          <w:fldChar w:fldCharType="begin"/>
        </w:r>
        <w:r>
          <w:instrText xml:space="preserve"> PAGE   \* MERGEFORMAT </w:instrText>
        </w:r>
        <w:r>
          <w:fldChar w:fldCharType="separate"/>
        </w:r>
        <w:r w:rsidR="00B5121E">
          <w:rPr>
            <w:noProof/>
          </w:rPr>
          <w:t>2</w:t>
        </w:r>
        <w:r>
          <w:rPr>
            <w:noProof/>
          </w:rPr>
          <w:fldChar w:fldCharType="end"/>
        </w:r>
      </w:p>
    </w:sdtContent>
  </w:sdt>
  <w:p w:rsidR="00902DDA" w:rsidRDefault="00902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79095"/>
      <w:docPartObj>
        <w:docPartGallery w:val="Page Numbers (Bottom of Page)"/>
        <w:docPartUnique/>
      </w:docPartObj>
    </w:sdtPr>
    <w:sdtEndPr>
      <w:rPr>
        <w:noProof/>
      </w:rPr>
    </w:sdtEndPr>
    <w:sdtContent>
      <w:p w:rsidR="00902DDA" w:rsidRDefault="00902DDA">
        <w:pPr>
          <w:pStyle w:val="Footer"/>
          <w:jc w:val="center"/>
        </w:pPr>
        <w:r>
          <w:fldChar w:fldCharType="begin"/>
        </w:r>
        <w:r>
          <w:instrText xml:space="preserve"> PAGE   \* MERGEFORMAT </w:instrText>
        </w:r>
        <w:r>
          <w:fldChar w:fldCharType="separate"/>
        </w:r>
        <w:r w:rsidR="00B5121E">
          <w:rPr>
            <w:noProof/>
          </w:rPr>
          <w:t>1</w:t>
        </w:r>
        <w:r>
          <w:rPr>
            <w:noProof/>
          </w:rPr>
          <w:fldChar w:fldCharType="end"/>
        </w:r>
      </w:p>
    </w:sdtContent>
  </w:sdt>
  <w:p w:rsidR="00902DDA" w:rsidRDefault="0090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85" w:rsidRDefault="00106485" w:rsidP="00902DDA">
      <w:r>
        <w:separator/>
      </w:r>
    </w:p>
  </w:footnote>
  <w:footnote w:type="continuationSeparator" w:id="0">
    <w:p w:rsidR="00106485" w:rsidRDefault="00106485" w:rsidP="0090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A" w:rsidRPr="00902DDA" w:rsidRDefault="00902DDA" w:rsidP="00902DDA">
    <w:pPr>
      <w:pStyle w:val="Header"/>
      <w:tabs>
        <w:tab w:val="right" w:pos="9639"/>
      </w:tabs>
      <w:jc w:val="right"/>
      <w:rPr>
        <w:sz w:val="18"/>
        <w:szCs w:val="18"/>
      </w:rPr>
    </w:pPr>
    <w:r w:rsidRPr="00B0007F">
      <w:rPr>
        <w:sz w:val="18"/>
        <w:szCs w:val="18"/>
      </w:rPr>
      <w:t>1</w:t>
    </w:r>
    <w:r>
      <w:rPr>
        <w:sz w:val="18"/>
        <w:szCs w:val="18"/>
      </w:rPr>
      <w:t>3</w:t>
    </w:r>
    <w:r w:rsidRPr="002B74DC">
      <w:rPr>
        <w:sz w:val="18"/>
        <w:szCs w:val="18"/>
        <w:vertAlign w:val="superscript"/>
      </w:rPr>
      <w:t>th</w:t>
    </w:r>
    <w:r>
      <w:rPr>
        <w:sz w:val="18"/>
        <w:szCs w:val="18"/>
      </w:rPr>
      <w:t xml:space="preserve"> </w:t>
    </w:r>
    <w:r w:rsidRPr="00B0007F">
      <w:rPr>
        <w:sz w:val="18"/>
        <w:szCs w:val="18"/>
      </w:rPr>
      <w:t>International CNRA/</w:t>
    </w:r>
    <w:r>
      <w:rPr>
        <w:sz w:val="18"/>
        <w:szCs w:val="18"/>
      </w:rPr>
      <w:t>WGIP Workshop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DA" w:rsidRDefault="00902DDA">
    <w:pPr>
      <w:pStyle w:val="Header"/>
    </w:pPr>
    <w:r w:rsidRPr="00B0007F">
      <w:rPr>
        <w:sz w:val="18"/>
        <w:szCs w:val="18"/>
      </w:rPr>
      <w:t>1</w:t>
    </w:r>
    <w:r>
      <w:rPr>
        <w:sz w:val="18"/>
        <w:szCs w:val="18"/>
      </w:rPr>
      <w:t>3</w:t>
    </w:r>
    <w:r w:rsidRPr="002B74DC">
      <w:rPr>
        <w:sz w:val="18"/>
        <w:szCs w:val="18"/>
        <w:vertAlign w:val="superscript"/>
      </w:rPr>
      <w:t>th</w:t>
    </w:r>
    <w:r>
      <w:rPr>
        <w:sz w:val="18"/>
        <w:szCs w:val="18"/>
      </w:rPr>
      <w:t xml:space="preserve"> </w:t>
    </w:r>
    <w:r w:rsidRPr="00B0007F">
      <w:rPr>
        <w:sz w:val="18"/>
        <w:szCs w:val="18"/>
      </w:rPr>
      <w:t>International CNRA/</w:t>
    </w:r>
    <w:r>
      <w:rPr>
        <w:sz w:val="18"/>
        <w:szCs w:val="18"/>
      </w:rPr>
      <w:t>WGIP Workshop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10DE36C9"/>
    <w:multiLevelType w:val="hybridMultilevel"/>
    <w:tmpl w:val="5D448406"/>
    <w:lvl w:ilvl="0" w:tplc="7D4C707C">
      <w:start w:val="1"/>
      <w:numFmt w:val="decimal"/>
      <w:lvlText w:val="%1."/>
      <w:lvlJc w:val="left"/>
      <w:pPr>
        <w:ind w:left="45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4C672C"/>
    <w:multiLevelType w:val="multilevel"/>
    <w:tmpl w:val="F7C85E80"/>
    <w:lvl w:ilvl="0">
      <w:start w:val="1"/>
      <w:numFmt w:val="decimal"/>
      <w:lvlText w:val="%1."/>
      <w:lvlJc w:val="left"/>
      <w:pPr>
        <w:ind w:left="720" w:hanging="360"/>
      </w:pPr>
      <w:rPr>
        <w:rFonts w:hint="default"/>
      </w:rPr>
    </w:lvl>
    <w:lvl w:ilvl="1">
      <w:start w:val="1"/>
      <w:numFmt w:val="lowerLetter"/>
      <w:lvlText w:val="%2."/>
      <w:lvlJc w:val="left"/>
      <w:pPr>
        <w:ind w:left="928"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DA"/>
    <w:rsid w:val="00106485"/>
    <w:rsid w:val="00224424"/>
    <w:rsid w:val="00902DDA"/>
    <w:rsid w:val="00B341A7"/>
    <w:rsid w:val="00B5121E"/>
    <w:rsid w:val="00F814EA"/>
    <w:rsid w:val="00F93B04"/>
    <w:rsid w:val="00FD5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A"/>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902DDA"/>
    <w:pPr>
      <w:keepNext/>
      <w:keepLines/>
      <w:spacing w:before="200"/>
      <w:outlineLvl w:val="2"/>
    </w:pPr>
    <w:rPr>
      <w:rFonts w:eastAsiaTheme="majorEastAsia" w:cstheme="majorBid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rsid w:val="00902DDA"/>
    <w:rPr>
      <w:rFonts w:ascii="Times New Roman" w:eastAsiaTheme="majorEastAsia" w:hAnsi="Times New Roman" w:cstheme="majorBidi"/>
      <w:b/>
      <w:bCs/>
      <w:i/>
      <w:sz w:val="20"/>
      <w:szCs w:val="20"/>
      <w:lang w:eastAsia="zh-CN"/>
    </w:rPr>
  </w:style>
  <w:style w:type="character" w:styleId="Hyperlink">
    <w:name w:val="Hyperlink"/>
    <w:unhideWhenUsed/>
    <w:rsid w:val="00902DDA"/>
    <w:rPr>
      <w:noProof w:val="0"/>
      <w:color w:val="0000FF"/>
      <w:u w:val="single"/>
      <w:lang w:val="en-GB"/>
    </w:rPr>
  </w:style>
  <w:style w:type="paragraph" w:styleId="FootnoteText">
    <w:name w:val="footnote text"/>
    <w:basedOn w:val="Normal"/>
    <w:link w:val="FootnoteTextChar"/>
    <w:semiHidden/>
    <w:unhideWhenUsed/>
    <w:rsid w:val="00902DDA"/>
    <w:pPr>
      <w:spacing w:after="120"/>
      <w:ind w:left="850" w:hanging="850"/>
    </w:pPr>
    <w:rPr>
      <w:sz w:val="20"/>
      <w:szCs w:val="20"/>
    </w:rPr>
  </w:style>
  <w:style w:type="character" w:customStyle="1" w:styleId="FootnoteTextChar">
    <w:name w:val="Footnote Text Char"/>
    <w:basedOn w:val="DefaultParagraphFont"/>
    <w:link w:val="FootnoteText"/>
    <w:semiHidden/>
    <w:rsid w:val="00902DDA"/>
    <w:rPr>
      <w:rFonts w:ascii="Times New Roman" w:eastAsia="Times New Roman" w:hAnsi="Times New Roman" w:cs="Times New Roman"/>
      <w:sz w:val="20"/>
      <w:szCs w:val="20"/>
      <w:lang w:eastAsia="zh-CN"/>
    </w:rPr>
  </w:style>
  <w:style w:type="paragraph" w:styleId="ListBullet">
    <w:name w:val="List Bullet"/>
    <w:basedOn w:val="Normal"/>
    <w:unhideWhenUsed/>
    <w:rsid w:val="00902DDA"/>
    <w:pPr>
      <w:numPr>
        <w:numId w:val="1"/>
      </w:numPr>
      <w:tabs>
        <w:tab w:val="clear" w:pos="1191"/>
        <w:tab w:val="clear" w:pos="1531"/>
      </w:tabs>
      <w:spacing w:after="240"/>
    </w:pPr>
  </w:style>
  <w:style w:type="paragraph" w:styleId="BodyText">
    <w:name w:val="Body Text"/>
    <w:basedOn w:val="Normal"/>
    <w:link w:val="BodyTextChar"/>
    <w:semiHidden/>
    <w:unhideWhenUsed/>
    <w:rsid w:val="00902DDA"/>
    <w:pPr>
      <w:spacing w:after="240"/>
      <w:ind w:firstLine="442"/>
    </w:pPr>
  </w:style>
  <w:style w:type="character" w:customStyle="1" w:styleId="BodyTextChar">
    <w:name w:val="Body Text Char"/>
    <w:basedOn w:val="DefaultParagraphFont"/>
    <w:link w:val="BodyText"/>
    <w:semiHidden/>
    <w:rsid w:val="00902DDA"/>
    <w:rPr>
      <w:rFonts w:ascii="Times New Roman" w:eastAsia="Times New Roman" w:hAnsi="Times New Roman" w:cs="Times New Roman"/>
      <w:lang w:eastAsia="zh-CN"/>
    </w:rPr>
  </w:style>
  <w:style w:type="character" w:styleId="FootnoteReference">
    <w:name w:val="footnote reference"/>
    <w:basedOn w:val="DefaultParagraphFont"/>
    <w:uiPriority w:val="99"/>
    <w:semiHidden/>
    <w:unhideWhenUsed/>
    <w:rsid w:val="00902DDA"/>
    <w:rPr>
      <w:vertAlign w:val="superscript"/>
    </w:rPr>
  </w:style>
  <w:style w:type="paragraph" w:styleId="Header">
    <w:name w:val="header"/>
    <w:basedOn w:val="Normal"/>
    <w:link w:val="HeaderChar"/>
    <w:unhideWhenUsed/>
    <w:rsid w:val="00902DDA"/>
    <w:pPr>
      <w:tabs>
        <w:tab w:val="clear" w:pos="850"/>
        <w:tab w:val="clear" w:pos="1191"/>
        <w:tab w:val="clear" w:pos="1531"/>
        <w:tab w:val="center" w:pos="4513"/>
        <w:tab w:val="right" w:pos="9026"/>
      </w:tabs>
    </w:pPr>
  </w:style>
  <w:style w:type="character" w:customStyle="1" w:styleId="HeaderChar">
    <w:name w:val="Header Char"/>
    <w:basedOn w:val="DefaultParagraphFont"/>
    <w:link w:val="Header"/>
    <w:rsid w:val="00902DDA"/>
    <w:rPr>
      <w:rFonts w:ascii="Times New Roman" w:eastAsia="Times New Roman" w:hAnsi="Times New Roman" w:cs="Times New Roman"/>
      <w:lang w:eastAsia="zh-CN"/>
    </w:rPr>
  </w:style>
  <w:style w:type="paragraph" w:styleId="Footer">
    <w:name w:val="footer"/>
    <w:basedOn w:val="Normal"/>
    <w:link w:val="FooterChar"/>
    <w:uiPriority w:val="99"/>
    <w:unhideWhenUsed/>
    <w:rsid w:val="00902DDA"/>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902DDA"/>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DA"/>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902DDA"/>
    <w:pPr>
      <w:keepNext/>
      <w:keepLines/>
      <w:spacing w:before="200"/>
      <w:outlineLvl w:val="2"/>
    </w:pPr>
    <w:rPr>
      <w:rFonts w:eastAsiaTheme="majorEastAsia" w:cstheme="majorBid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rsid w:val="00902DDA"/>
    <w:rPr>
      <w:rFonts w:ascii="Times New Roman" w:eastAsiaTheme="majorEastAsia" w:hAnsi="Times New Roman" w:cstheme="majorBidi"/>
      <w:b/>
      <w:bCs/>
      <w:i/>
      <w:sz w:val="20"/>
      <w:szCs w:val="20"/>
      <w:lang w:eastAsia="zh-CN"/>
    </w:rPr>
  </w:style>
  <w:style w:type="character" w:styleId="Hyperlink">
    <w:name w:val="Hyperlink"/>
    <w:unhideWhenUsed/>
    <w:rsid w:val="00902DDA"/>
    <w:rPr>
      <w:noProof w:val="0"/>
      <w:color w:val="0000FF"/>
      <w:u w:val="single"/>
      <w:lang w:val="en-GB"/>
    </w:rPr>
  </w:style>
  <w:style w:type="paragraph" w:styleId="FootnoteText">
    <w:name w:val="footnote text"/>
    <w:basedOn w:val="Normal"/>
    <w:link w:val="FootnoteTextChar"/>
    <w:semiHidden/>
    <w:unhideWhenUsed/>
    <w:rsid w:val="00902DDA"/>
    <w:pPr>
      <w:spacing w:after="120"/>
      <w:ind w:left="850" w:hanging="850"/>
    </w:pPr>
    <w:rPr>
      <w:sz w:val="20"/>
      <w:szCs w:val="20"/>
    </w:rPr>
  </w:style>
  <w:style w:type="character" w:customStyle="1" w:styleId="FootnoteTextChar">
    <w:name w:val="Footnote Text Char"/>
    <w:basedOn w:val="DefaultParagraphFont"/>
    <w:link w:val="FootnoteText"/>
    <w:semiHidden/>
    <w:rsid w:val="00902DDA"/>
    <w:rPr>
      <w:rFonts w:ascii="Times New Roman" w:eastAsia="Times New Roman" w:hAnsi="Times New Roman" w:cs="Times New Roman"/>
      <w:sz w:val="20"/>
      <w:szCs w:val="20"/>
      <w:lang w:eastAsia="zh-CN"/>
    </w:rPr>
  </w:style>
  <w:style w:type="paragraph" w:styleId="ListBullet">
    <w:name w:val="List Bullet"/>
    <w:basedOn w:val="Normal"/>
    <w:unhideWhenUsed/>
    <w:rsid w:val="00902DDA"/>
    <w:pPr>
      <w:numPr>
        <w:numId w:val="1"/>
      </w:numPr>
      <w:tabs>
        <w:tab w:val="clear" w:pos="1191"/>
        <w:tab w:val="clear" w:pos="1531"/>
      </w:tabs>
      <w:spacing w:after="240"/>
    </w:pPr>
  </w:style>
  <w:style w:type="paragraph" w:styleId="BodyText">
    <w:name w:val="Body Text"/>
    <w:basedOn w:val="Normal"/>
    <w:link w:val="BodyTextChar"/>
    <w:semiHidden/>
    <w:unhideWhenUsed/>
    <w:rsid w:val="00902DDA"/>
    <w:pPr>
      <w:spacing w:after="240"/>
      <w:ind w:firstLine="442"/>
    </w:pPr>
  </w:style>
  <w:style w:type="character" w:customStyle="1" w:styleId="BodyTextChar">
    <w:name w:val="Body Text Char"/>
    <w:basedOn w:val="DefaultParagraphFont"/>
    <w:link w:val="BodyText"/>
    <w:semiHidden/>
    <w:rsid w:val="00902DDA"/>
    <w:rPr>
      <w:rFonts w:ascii="Times New Roman" w:eastAsia="Times New Roman" w:hAnsi="Times New Roman" w:cs="Times New Roman"/>
      <w:lang w:eastAsia="zh-CN"/>
    </w:rPr>
  </w:style>
  <w:style w:type="character" w:styleId="FootnoteReference">
    <w:name w:val="footnote reference"/>
    <w:basedOn w:val="DefaultParagraphFont"/>
    <w:uiPriority w:val="99"/>
    <w:semiHidden/>
    <w:unhideWhenUsed/>
    <w:rsid w:val="00902DDA"/>
    <w:rPr>
      <w:vertAlign w:val="superscript"/>
    </w:rPr>
  </w:style>
  <w:style w:type="paragraph" w:styleId="Header">
    <w:name w:val="header"/>
    <w:basedOn w:val="Normal"/>
    <w:link w:val="HeaderChar"/>
    <w:unhideWhenUsed/>
    <w:rsid w:val="00902DDA"/>
    <w:pPr>
      <w:tabs>
        <w:tab w:val="clear" w:pos="850"/>
        <w:tab w:val="clear" w:pos="1191"/>
        <w:tab w:val="clear" w:pos="1531"/>
        <w:tab w:val="center" w:pos="4513"/>
        <w:tab w:val="right" w:pos="9026"/>
      </w:tabs>
    </w:pPr>
  </w:style>
  <w:style w:type="character" w:customStyle="1" w:styleId="HeaderChar">
    <w:name w:val="Header Char"/>
    <w:basedOn w:val="DefaultParagraphFont"/>
    <w:link w:val="Header"/>
    <w:rsid w:val="00902DDA"/>
    <w:rPr>
      <w:rFonts w:ascii="Times New Roman" w:eastAsia="Times New Roman" w:hAnsi="Times New Roman" w:cs="Times New Roman"/>
      <w:lang w:eastAsia="zh-CN"/>
    </w:rPr>
  </w:style>
  <w:style w:type="paragraph" w:styleId="Footer">
    <w:name w:val="footer"/>
    <w:basedOn w:val="Normal"/>
    <w:link w:val="FooterChar"/>
    <w:uiPriority w:val="99"/>
    <w:unhideWhenUsed/>
    <w:rsid w:val="00902DDA"/>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902DDA"/>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ncy.salgado@oe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D811-5AEB-4D6C-80BB-D4C73A51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International CNRA/WGIP Workshop 2016 - Questionnaire B: Inspection of Modifications </dc:title>
  <dc:creator>NEA</dc:creator>
  <dc:description/>
  <cp:lastModifiedBy>Angres Danielle</cp:lastModifiedBy>
  <cp:revision>4</cp:revision>
  <dcterms:created xsi:type="dcterms:W3CDTF">2016-01-05T09:59:00Z</dcterms:created>
  <dcterms:modified xsi:type="dcterms:W3CDTF">2016-01-05T10:03:00Z</dcterms:modified>
</cp:coreProperties>
</file>