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DDA" w:rsidRDefault="00902DDA" w:rsidP="00902DDA">
      <w:pPr>
        <w:spacing w:after="240"/>
        <w:jc w:val="center"/>
        <w:rPr>
          <w:b/>
          <w:i/>
          <w:smallCaps/>
          <w:sz w:val="28"/>
        </w:rPr>
      </w:pPr>
      <w:bookmarkStart w:id="0" w:name="_GoBack"/>
      <w:r>
        <w:rPr>
          <w:b/>
          <w:smallCaps/>
          <w:sz w:val="28"/>
        </w:rPr>
        <w:t>Questionnaire A</w:t>
      </w:r>
    </w:p>
    <w:p w:rsidR="00902DDA" w:rsidRDefault="00902DDA" w:rsidP="00902DDA">
      <w:pPr>
        <w:tabs>
          <w:tab w:val="left" w:pos="720"/>
        </w:tabs>
        <w:spacing w:after="200" w:line="276" w:lineRule="auto"/>
        <w:jc w:val="center"/>
        <w:rPr>
          <w:rFonts w:eastAsia="PMingLiU"/>
          <w:b/>
          <w:i/>
          <w:sz w:val="28"/>
          <w:szCs w:val="28"/>
          <w:lang w:val="en-US" w:eastAsia="zh-TW"/>
        </w:rPr>
      </w:pPr>
      <w:r>
        <w:rPr>
          <w:rFonts w:eastAsia="PMingLiU"/>
          <w:b/>
          <w:sz w:val="28"/>
          <w:szCs w:val="28"/>
          <w:lang w:val="en-US" w:eastAsia="zh-TW"/>
        </w:rPr>
        <w:t>Inspection Activities during the Transition from an Operating Reactor to a Defueled Status with a Commitment to Cease Power Operation</w:t>
      </w:r>
    </w:p>
    <w:bookmarkEnd w:id="0"/>
    <w:p w:rsidR="00902DDA" w:rsidRDefault="00902DDA" w:rsidP="00902DDA">
      <w:pPr>
        <w:pStyle w:val="BodyText"/>
        <w:jc w:val="center"/>
        <w:rPr>
          <w:i/>
          <w:sz w:val="28"/>
          <w:szCs w:val="28"/>
        </w:rPr>
      </w:pPr>
      <w:r>
        <w:rPr>
          <w:sz w:val="28"/>
          <w:szCs w:val="28"/>
        </w:rPr>
        <w:t>Country: _____________</w:t>
      </w:r>
    </w:p>
    <w:p w:rsidR="00902DDA" w:rsidRPr="00902DDA" w:rsidRDefault="00902DDA" w:rsidP="00902DDA">
      <w:pPr>
        <w:pStyle w:val="Heading3"/>
        <w:rPr>
          <w:sz w:val="22"/>
          <w:szCs w:val="22"/>
        </w:rPr>
      </w:pPr>
      <w:r w:rsidRPr="00902DDA">
        <w:t>Notes:</w:t>
      </w:r>
    </w:p>
    <w:p w:rsidR="00902DDA" w:rsidRDefault="00902DDA" w:rsidP="00902DDA">
      <w:pPr>
        <w:pStyle w:val="ListBullet"/>
        <w:numPr>
          <w:ilvl w:val="0"/>
          <w:numId w:val="0"/>
        </w:numPr>
        <w:tabs>
          <w:tab w:val="num" w:pos="567"/>
        </w:tabs>
        <w:ind w:left="567"/>
        <w:rPr>
          <w:i/>
        </w:rPr>
      </w:pPr>
      <w:r>
        <w:t>Only one response per country is required. If more than one person from your country is participating, please co-ordinate the responses accordingly.</w:t>
      </w:r>
    </w:p>
    <w:p w:rsidR="00902DDA" w:rsidRDefault="00902DDA" w:rsidP="00902DDA">
      <w:pPr>
        <w:pStyle w:val="ListBullet"/>
        <w:numPr>
          <w:ilvl w:val="0"/>
          <w:numId w:val="0"/>
        </w:numPr>
        <w:tabs>
          <w:tab w:val="num" w:pos="567"/>
          <w:tab w:val="num" w:pos="851"/>
        </w:tabs>
        <w:ind w:left="851" w:hanging="284"/>
        <w:rPr>
          <w:i/>
        </w:rPr>
      </w:pPr>
      <w:r>
        <w:t xml:space="preserve">Submittals should be sent by email to </w:t>
      </w:r>
      <w:hyperlink r:id="rId9" w:history="1">
        <w:r>
          <w:rPr>
            <w:rStyle w:val="Hyperlink"/>
            <w:rFonts w:eastAsiaTheme="majorEastAsia"/>
            <w:i/>
          </w:rPr>
          <w:t>nancy.salgado@oecd.org</w:t>
        </w:r>
      </w:hyperlink>
      <w:r>
        <w:t xml:space="preserve"> by 17 February 2016</w:t>
      </w:r>
    </w:p>
    <w:p w:rsidR="00902DDA" w:rsidRDefault="00902DDA" w:rsidP="00902DDA">
      <w:pPr>
        <w:rPr>
          <w:b/>
          <w:i/>
          <w:sz w:val="24"/>
          <w:szCs w:val="24"/>
        </w:rPr>
      </w:pPr>
      <w:r>
        <w:rPr>
          <w:b/>
          <w:sz w:val="24"/>
          <w:szCs w:val="24"/>
        </w:rPr>
        <w:t>FORWARD</w:t>
      </w:r>
    </w:p>
    <w:p w:rsidR="00902DDA" w:rsidRDefault="00902DDA" w:rsidP="00902DDA">
      <w:pPr>
        <w:spacing w:before="120" w:after="120"/>
        <w:rPr>
          <w:i/>
          <w:sz w:val="24"/>
          <w:szCs w:val="24"/>
        </w:rPr>
      </w:pPr>
      <w:r>
        <w:rPr>
          <w:sz w:val="24"/>
          <w:szCs w:val="24"/>
        </w:rPr>
        <w:t>When the decision to permanently cease power operations is made, new safety issues may arise. Regulatory bodies (RB) must be aware of these issues and be prepared to respond/address them through their inspection programmes. Areas such as organisation, human, technical and financial</w:t>
      </w:r>
      <w:r>
        <w:rPr>
          <w:sz w:val="24"/>
          <w:szCs w:val="24"/>
          <w:vertAlign w:val="superscript"/>
        </w:rPr>
        <w:footnoteReference w:id="1"/>
      </w:r>
      <w:r>
        <w:rPr>
          <w:sz w:val="24"/>
          <w:szCs w:val="24"/>
        </w:rPr>
        <w:t xml:space="preserve"> may require different inspection approaches.</w:t>
      </w:r>
    </w:p>
    <w:p w:rsidR="00902DDA" w:rsidRDefault="00902DDA" w:rsidP="00902DDA">
      <w:pPr>
        <w:spacing w:before="120" w:after="120"/>
        <w:rPr>
          <w:i/>
          <w:sz w:val="24"/>
          <w:szCs w:val="24"/>
        </w:rPr>
      </w:pPr>
      <w:r>
        <w:rPr>
          <w:sz w:val="24"/>
          <w:szCs w:val="24"/>
        </w:rPr>
        <w:t>The purpose of the task is to identify commendable practices and share information about methods, procedures and criteria used to inspect a licensee transitioning from an operating reactor to a defueled status, with a commitment to permanently cease power operations.</w:t>
      </w:r>
    </w:p>
    <w:p w:rsidR="00902DDA" w:rsidRDefault="00902DDA" w:rsidP="00902DDA">
      <w:pPr>
        <w:spacing w:before="120" w:after="120"/>
        <w:rPr>
          <w:i/>
          <w:sz w:val="24"/>
          <w:szCs w:val="24"/>
        </w:rPr>
      </w:pPr>
      <w:r>
        <w:rPr>
          <w:sz w:val="24"/>
          <w:szCs w:val="24"/>
        </w:rPr>
        <w:t xml:space="preserve">It should be recognised that the end point of this workshop topic was difficult to establish. However, for the purposes of the workshop topic, it was determined to limit the scope to the transition phase, which is defined as the time frame between the licensee’s commitment (announced or unannounced) to permanently cease power operations and final defueling of the reactor vessel. This workshop topic excludes physical security. </w:t>
      </w:r>
    </w:p>
    <w:p w:rsidR="00902DDA" w:rsidRDefault="00902DDA" w:rsidP="00902DDA">
      <w:pPr>
        <w:spacing w:before="120" w:after="120"/>
        <w:rPr>
          <w:i/>
          <w:sz w:val="24"/>
          <w:szCs w:val="24"/>
        </w:rPr>
      </w:pPr>
      <w:r>
        <w:rPr>
          <w:sz w:val="24"/>
          <w:szCs w:val="24"/>
        </w:rPr>
        <w:t>Questions below relate to both regulatory framework and inspection activities.</w:t>
      </w:r>
    </w:p>
    <w:p w:rsidR="00902DDA" w:rsidRDefault="00902DDA" w:rsidP="00902DDA">
      <w:pPr>
        <w:spacing w:before="120" w:after="120"/>
        <w:rPr>
          <w:i/>
          <w:sz w:val="24"/>
          <w:szCs w:val="24"/>
        </w:rPr>
      </w:pPr>
      <w:r>
        <w:rPr>
          <w:sz w:val="24"/>
          <w:szCs w:val="24"/>
        </w:rPr>
        <w:t>The focus of this workshop topic is to identify commendable inspection practices by RBs to verify that a licensee maintains safety during the transition phase.</w:t>
      </w:r>
    </w:p>
    <w:p w:rsidR="00902DDA" w:rsidRDefault="00902DDA" w:rsidP="00902DDA">
      <w:pPr>
        <w:rPr>
          <w:b/>
          <w:i/>
          <w:sz w:val="24"/>
          <w:szCs w:val="24"/>
        </w:rPr>
      </w:pPr>
      <w:r>
        <w:rPr>
          <w:b/>
          <w:sz w:val="24"/>
          <w:szCs w:val="24"/>
        </w:rPr>
        <w:t>QUESTIONNAIRE</w:t>
      </w:r>
    </w:p>
    <w:p w:rsidR="00902DDA" w:rsidRDefault="00902DDA" w:rsidP="00902DDA">
      <w:pPr>
        <w:spacing w:before="120" w:after="120"/>
        <w:rPr>
          <w:i/>
          <w:sz w:val="24"/>
          <w:szCs w:val="24"/>
        </w:rPr>
      </w:pPr>
      <w:r>
        <w:rPr>
          <w:sz w:val="24"/>
          <w:szCs w:val="24"/>
        </w:rPr>
        <w:t>For preparation of the workshop, participants are invited to supply their national inspection approaches used according to the following questionnaire:</w:t>
      </w:r>
    </w:p>
    <w:p w:rsidR="00902DDA" w:rsidRDefault="00902DDA" w:rsidP="00902DDA">
      <w:pPr>
        <w:numPr>
          <w:ilvl w:val="0"/>
          <w:numId w:val="2"/>
        </w:numPr>
        <w:tabs>
          <w:tab w:val="left" w:pos="720"/>
        </w:tabs>
        <w:spacing w:before="120" w:after="120"/>
        <w:ind w:left="360"/>
        <w:rPr>
          <w:b/>
          <w:i/>
          <w:sz w:val="24"/>
          <w:szCs w:val="24"/>
        </w:rPr>
      </w:pPr>
      <w:r>
        <w:rPr>
          <w:b/>
          <w:sz w:val="24"/>
          <w:szCs w:val="24"/>
        </w:rPr>
        <w:t>FRAMEWORK</w:t>
      </w:r>
    </w:p>
    <w:p w:rsidR="00902DDA" w:rsidRDefault="00902DDA" w:rsidP="00902DDA">
      <w:pPr>
        <w:spacing w:before="120" w:after="120"/>
        <w:rPr>
          <w:i/>
          <w:sz w:val="24"/>
          <w:szCs w:val="24"/>
        </w:rPr>
      </w:pPr>
      <w:r>
        <w:rPr>
          <w:sz w:val="24"/>
          <w:szCs w:val="24"/>
        </w:rPr>
        <w:t>1.1 What are your RB’s regulatory requirements governing the transition from an operating reactor to a decommissioning reactor?</w:t>
      </w:r>
    </w:p>
    <w:p w:rsidR="00902DDA" w:rsidRDefault="00902DDA" w:rsidP="00902DDA">
      <w:pPr>
        <w:rPr>
          <w:i/>
          <w:sz w:val="24"/>
          <w:szCs w:val="24"/>
        </w:rPr>
      </w:pPr>
      <w:r>
        <w:rPr>
          <w:sz w:val="24"/>
          <w:szCs w:val="24"/>
        </w:rPr>
        <w:t>1.2 When is it no longer considered an operating reactor? Describe the factors and criteria used in this consideration.</w:t>
      </w:r>
    </w:p>
    <w:p w:rsidR="00902DDA" w:rsidRDefault="00902DDA" w:rsidP="00902DDA">
      <w:pPr>
        <w:rPr>
          <w:i/>
          <w:sz w:val="24"/>
          <w:szCs w:val="24"/>
        </w:rPr>
      </w:pPr>
    </w:p>
    <w:p w:rsidR="00902DDA" w:rsidRDefault="00902DDA" w:rsidP="00902DDA">
      <w:pPr>
        <w:numPr>
          <w:ilvl w:val="0"/>
          <w:numId w:val="2"/>
        </w:numPr>
        <w:tabs>
          <w:tab w:val="left" w:pos="720"/>
        </w:tabs>
        <w:ind w:left="360"/>
        <w:contextualSpacing/>
        <w:rPr>
          <w:b/>
          <w:i/>
          <w:sz w:val="24"/>
          <w:szCs w:val="24"/>
        </w:rPr>
      </w:pPr>
      <w:r>
        <w:rPr>
          <w:b/>
          <w:sz w:val="24"/>
          <w:szCs w:val="24"/>
        </w:rPr>
        <w:t>INSPECTION PROGRAMME</w:t>
      </w:r>
    </w:p>
    <w:p w:rsidR="00902DDA" w:rsidRDefault="00902DDA" w:rsidP="00902DDA">
      <w:pPr>
        <w:spacing w:before="120" w:after="120"/>
        <w:rPr>
          <w:i/>
          <w:sz w:val="24"/>
          <w:szCs w:val="24"/>
        </w:rPr>
      </w:pPr>
      <w:r>
        <w:rPr>
          <w:sz w:val="24"/>
          <w:szCs w:val="24"/>
        </w:rPr>
        <w:t>2.1 Describe how and when your RB expects to be informed by the licensee that they commit to permanently cease power operations (e.g. informally vs. formally, timeframe).</w:t>
      </w:r>
    </w:p>
    <w:p w:rsidR="00902DDA" w:rsidRDefault="00902DDA" w:rsidP="00902DDA">
      <w:pPr>
        <w:spacing w:before="120" w:after="120"/>
        <w:rPr>
          <w:i/>
          <w:sz w:val="24"/>
          <w:szCs w:val="24"/>
        </w:rPr>
      </w:pPr>
      <w:r>
        <w:rPr>
          <w:sz w:val="24"/>
          <w:szCs w:val="24"/>
        </w:rPr>
        <w:lastRenderedPageBreak/>
        <w:t>2.2 When the licensee has committed to permanently cease power operations, does your RB’s inspection programme change?</w:t>
      </w:r>
    </w:p>
    <w:p w:rsidR="00902DDA" w:rsidRDefault="00902DDA" w:rsidP="00902DDA">
      <w:pPr>
        <w:spacing w:before="120" w:after="120"/>
        <w:ind w:left="567" w:hanging="283"/>
        <w:rPr>
          <w:i/>
          <w:sz w:val="24"/>
          <w:szCs w:val="24"/>
        </w:rPr>
      </w:pPr>
      <w:r>
        <w:rPr>
          <w:b/>
          <w:sz w:val="24"/>
          <w:szCs w:val="24"/>
        </w:rPr>
        <w:t>a</w:t>
      </w:r>
      <w:r>
        <w:rPr>
          <w:sz w:val="24"/>
          <w:szCs w:val="24"/>
        </w:rPr>
        <w:t>.</w:t>
      </w:r>
      <w:r>
        <w:rPr>
          <w:sz w:val="24"/>
          <w:szCs w:val="24"/>
        </w:rPr>
        <w:tab/>
        <w:t>Describe changes to the inspection programme (e.g. scope, frequency, etc.).</w:t>
      </w:r>
    </w:p>
    <w:p w:rsidR="00902DDA" w:rsidRDefault="00902DDA" w:rsidP="00902DDA">
      <w:pPr>
        <w:spacing w:before="120" w:after="120"/>
        <w:ind w:left="567" w:hanging="283"/>
        <w:rPr>
          <w:i/>
          <w:sz w:val="24"/>
          <w:szCs w:val="24"/>
        </w:rPr>
      </w:pPr>
      <w:r>
        <w:rPr>
          <w:b/>
          <w:sz w:val="24"/>
          <w:szCs w:val="24"/>
        </w:rPr>
        <w:t>b</w:t>
      </w:r>
      <w:r>
        <w:rPr>
          <w:sz w:val="24"/>
          <w:szCs w:val="24"/>
        </w:rPr>
        <w:t>.</w:t>
      </w:r>
      <w:r>
        <w:rPr>
          <w:sz w:val="24"/>
          <w:szCs w:val="24"/>
        </w:rPr>
        <w:tab/>
        <w:t>Describe how risk is considered when changing the inspection programme.</w:t>
      </w:r>
    </w:p>
    <w:p w:rsidR="00902DDA" w:rsidRDefault="00902DDA" w:rsidP="00902DDA">
      <w:pPr>
        <w:spacing w:before="120" w:after="120"/>
        <w:rPr>
          <w:i/>
          <w:sz w:val="24"/>
          <w:szCs w:val="24"/>
        </w:rPr>
      </w:pPr>
      <w:r>
        <w:rPr>
          <w:sz w:val="24"/>
          <w:szCs w:val="24"/>
        </w:rPr>
        <w:t>2.4 Describe how your RB modifies its inspection programme in the following instances:</w:t>
      </w:r>
    </w:p>
    <w:p w:rsidR="00902DDA" w:rsidRDefault="00902DDA" w:rsidP="00902DDA">
      <w:pPr>
        <w:spacing w:before="120" w:after="120"/>
        <w:ind w:left="567" w:hanging="283"/>
        <w:rPr>
          <w:sz w:val="24"/>
          <w:szCs w:val="24"/>
        </w:rPr>
      </w:pPr>
      <w:proofErr w:type="gramStart"/>
      <w:r>
        <w:rPr>
          <w:b/>
          <w:sz w:val="24"/>
          <w:szCs w:val="24"/>
        </w:rPr>
        <w:t>a</w:t>
      </w:r>
      <w:proofErr w:type="gramEnd"/>
      <w:r>
        <w:rPr>
          <w:b/>
          <w:sz w:val="24"/>
          <w:szCs w:val="24"/>
        </w:rPr>
        <w:t>.</w:t>
      </w:r>
      <w:r>
        <w:rPr>
          <w:sz w:val="24"/>
          <w:szCs w:val="24"/>
        </w:rPr>
        <w:tab/>
        <w:t>with significant advanced formal notification or informal awareness (years); and</w:t>
      </w:r>
    </w:p>
    <w:p w:rsidR="00902DDA" w:rsidRDefault="00902DDA" w:rsidP="00902DDA">
      <w:pPr>
        <w:spacing w:before="120" w:after="120"/>
        <w:ind w:left="567" w:hanging="283"/>
        <w:rPr>
          <w:i/>
          <w:sz w:val="24"/>
          <w:szCs w:val="24"/>
        </w:rPr>
      </w:pPr>
      <w:proofErr w:type="gramStart"/>
      <w:r>
        <w:rPr>
          <w:b/>
          <w:sz w:val="24"/>
          <w:szCs w:val="24"/>
        </w:rPr>
        <w:t>b</w:t>
      </w:r>
      <w:proofErr w:type="gramEnd"/>
      <w:r>
        <w:rPr>
          <w:sz w:val="24"/>
          <w:szCs w:val="24"/>
        </w:rPr>
        <w:t>.</w:t>
      </w:r>
      <w:r>
        <w:rPr>
          <w:sz w:val="24"/>
          <w:szCs w:val="24"/>
        </w:rPr>
        <w:tab/>
        <w:t>with minimal advanced formal notification or informal awareness (months).</w:t>
      </w:r>
    </w:p>
    <w:p w:rsidR="00902DDA" w:rsidRDefault="00902DDA" w:rsidP="00902DDA">
      <w:pPr>
        <w:spacing w:before="120" w:after="120"/>
        <w:rPr>
          <w:i/>
          <w:sz w:val="24"/>
          <w:szCs w:val="24"/>
        </w:rPr>
      </w:pPr>
      <w:r>
        <w:rPr>
          <w:sz w:val="24"/>
          <w:szCs w:val="24"/>
        </w:rPr>
        <w:t>2.5 When are the changes to your RB’s inspection programme implemented in relation to the date the licensee intends to permanently cease power operations?</w:t>
      </w:r>
    </w:p>
    <w:p w:rsidR="00902DDA" w:rsidRDefault="00902DDA" w:rsidP="00902DDA">
      <w:pPr>
        <w:spacing w:before="120" w:after="120"/>
        <w:rPr>
          <w:i/>
          <w:sz w:val="24"/>
          <w:szCs w:val="24"/>
        </w:rPr>
      </w:pPr>
      <w:r>
        <w:rPr>
          <w:sz w:val="24"/>
          <w:szCs w:val="24"/>
        </w:rPr>
        <w:t>2.6 Describe how your RB addresses unresolved safety concerns (e.g. those found in Periodic Safety Review, non-compliances, modifications, etc.) and inspection findings upon becoming aware that the licensee is committed to permanently cease power operations.</w:t>
      </w:r>
    </w:p>
    <w:p w:rsidR="00902DDA" w:rsidRDefault="00902DDA" w:rsidP="00902DDA">
      <w:pPr>
        <w:numPr>
          <w:ilvl w:val="0"/>
          <w:numId w:val="2"/>
        </w:numPr>
        <w:tabs>
          <w:tab w:val="left" w:pos="720"/>
        </w:tabs>
        <w:spacing w:before="120" w:after="120"/>
        <w:ind w:left="360"/>
        <w:rPr>
          <w:b/>
          <w:i/>
          <w:sz w:val="24"/>
          <w:szCs w:val="24"/>
        </w:rPr>
      </w:pPr>
      <w:r>
        <w:rPr>
          <w:b/>
          <w:sz w:val="24"/>
          <w:szCs w:val="24"/>
        </w:rPr>
        <w:t>SCOPE of INSPECTIONS</w:t>
      </w:r>
    </w:p>
    <w:p w:rsidR="00902DDA" w:rsidRDefault="00902DDA" w:rsidP="00902DDA">
      <w:pPr>
        <w:spacing w:before="120" w:after="120"/>
        <w:rPr>
          <w:i/>
          <w:sz w:val="24"/>
          <w:szCs w:val="24"/>
        </w:rPr>
      </w:pPr>
      <w:r>
        <w:rPr>
          <w:sz w:val="24"/>
          <w:szCs w:val="24"/>
        </w:rPr>
        <w:t xml:space="preserve">3.1 Does your RB identify and define, by internal procedure/process or otherwise, differences </w:t>
      </w:r>
      <w:r>
        <w:rPr>
          <w:b/>
          <w:sz w:val="24"/>
          <w:szCs w:val="24"/>
          <w:u w:val="single"/>
        </w:rPr>
        <w:t>in the scope and level of effort</w:t>
      </w:r>
      <w:r>
        <w:rPr>
          <w:sz w:val="24"/>
          <w:szCs w:val="24"/>
        </w:rPr>
        <w:t xml:space="preserve"> of inspections conducted during the transition phase (compared to the same inspections conducted prior to the transition phase)? If so, describe how the identified inspections are modified.</w:t>
      </w:r>
    </w:p>
    <w:p w:rsidR="00902DDA" w:rsidRDefault="00902DDA" w:rsidP="00902DDA">
      <w:pPr>
        <w:spacing w:before="120" w:after="120"/>
        <w:rPr>
          <w:i/>
          <w:sz w:val="24"/>
          <w:szCs w:val="24"/>
        </w:rPr>
      </w:pPr>
      <w:r>
        <w:rPr>
          <w:sz w:val="24"/>
          <w:szCs w:val="24"/>
        </w:rPr>
        <w:t>3.2 With respect to the scope and level of effort of inspections, which areas increase in importance, which areas decrease in importance and which areas maintain their importance? Use “+” to indicate an increase in importance, “0” to indicate no change and “-” to indicate a decrease in importance, and give a brief comment explaining why.</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440"/>
        <w:gridCol w:w="1800"/>
        <w:gridCol w:w="3240"/>
      </w:tblGrid>
      <w:tr w:rsidR="00902DDA" w:rsidTr="00902DDA">
        <w:tc>
          <w:tcPr>
            <w:tcW w:w="2700" w:type="dxa"/>
            <w:tcBorders>
              <w:top w:val="single" w:sz="4" w:space="0" w:color="auto"/>
              <w:left w:val="single" w:sz="4" w:space="0" w:color="auto"/>
              <w:bottom w:val="single" w:sz="4" w:space="0" w:color="auto"/>
              <w:right w:val="single" w:sz="4" w:space="0" w:color="auto"/>
            </w:tcBorders>
            <w:hideMark/>
          </w:tcPr>
          <w:p w:rsidR="00902DDA" w:rsidRDefault="00902DDA">
            <w:pPr>
              <w:rPr>
                <w:b/>
                <w:i/>
                <w:sz w:val="24"/>
                <w:szCs w:val="24"/>
                <w:lang w:val="en-US"/>
              </w:rPr>
            </w:pPr>
            <w:r>
              <w:rPr>
                <w:b/>
                <w:sz w:val="24"/>
                <w:szCs w:val="24"/>
                <w:lang w:val="en-US"/>
              </w:rPr>
              <w:t>Areas</w:t>
            </w:r>
          </w:p>
        </w:tc>
        <w:tc>
          <w:tcPr>
            <w:tcW w:w="1440" w:type="dxa"/>
            <w:tcBorders>
              <w:top w:val="single" w:sz="4" w:space="0" w:color="auto"/>
              <w:left w:val="single" w:sz="4" w:space="0" w:color="auto"/>
              <w:bottom w:val="single" w:sz="4" w:space="0" w:color="auto"/>
              <w:right w:val="single" w:sz="4" w:space="0" w:color="auto"/>
            </w:tcBorders>
            <w:hideMark/>
          </w:tcPr>
          <w:p w:rsidR="00902DDA" w:rsidRDefault="00902DDA">
            <w:pPr>
              <w:rPr>
                <w:b/>
                <w:i/>
                <w:sz w:val="24"/>
                <w:szCs w:val="24"/>
                <w:lang w:val="en-US"/>
              </w:rPr>
            </w:pPr>
            <w:r>
              <w:rPr>
                <w:b/>
                <w:sz w:val="24"/>
                <w:szCs w:val="24"/>
                <w:lang w:val="en-US"/>
              </w:rPr>
              <w:t>Scope</w:t>
            </w:r>
          </w:p>
          <w:p w:rsidR="00902DDA" w:rsidRDefault="00902DDA">
            <w:pPr>
              <w:rPr>
                <w:i/>
                <w:sz w:val="24"/>
                <w:szCs w:val="24"/>
                <w:lang w:val="en-US"/>
              </w:rPr>
            </w:pPr>
            <w:r>
              <w:rPr>
                <w:sz w:val="24"/>
                <w:szCs w:val="24"/>
                <w:lang w:val="en-US"/>
              </w:rPr>
              <w:t>(use +, 0, -)</w:t>
            </w:r>
          </w:p>
        </w:tc>
        <w:tc>
          <w:tcPr>
            <w:tcW w:w="1800" w:type="dxa"/>
            <w:tcBorders>
              <w:top w:val="single" w:sz="4" w:space="0" w:color="auto"/>
              <w:left w:val="single" w:sz="4" w:space="0" w:color="auto"/>
              <w:bottom w:val="single" w:sz="4" w:space="0" w:color="auto"/>
              <w:right w:val="single" w:sz="4" w:space="0" w:color="auto"/>
            </w:tcBorders>
            <w:hideMark/>
          </w:tcPr>
          <w:p w:rsidR="00902DDA" w:rsidRDefault="00902DDA">
            <w:pPr>
              <w:rPr>
                <w:b/>
                <w:i/>
                <w:sz w:val="24"/>
                <w:szCs w:val="24"/>
                <w:lang w:val="en-US"/>
              </w:rPr>
            </w:pPr>
            <w:r>
              <w:rPr>
                <w:b/>
                <w:sz w:val="24"/>
                <w:szCs w:val="24"/>
                <w:lang w:val="en-US"/>
              </w:rPr>
              <w:t>Level of Effort</w:t>
            </w:r>
          </w:p>
          <w:p w:rsidR="00902DDA" w:rsidRDefault="00902DDA">
            <w:pPr>
              <w:rPr>
                <w:b/>
                <w:i/>
                <w:sz w:val="24"/>
                <w:szCs w:val="24"/>
                <w:lang w:val="en-US"/>
              </w:rPr>
            </w:pPr>
            <w:r>
              <w:rPr>
                <w:sz w:val="24"/>
                <w:szCs w:val="24"/>
                <w:lang w:val="en-US"/>
              </w:rPr>
              <w:t>(use +, 0, -)</w:t>
            </w:r>
          </w:p>
        </w:tc>
        <w:tc>
          <w:tcPr>
            <w:tcW w:w="3240" w:type="dxa"/>
            <w:tcBorders>
              <w:top w:val="single" w:sz="4" w:space="0" w:color="auto"/>
              <w:left w:val="single" w:sz="4" w:space="0" w:color="auto"/>
              <w:bottom w:val="single" w:sz="4" w:space="0" w:color="auto"/>
              <w:right w:val="single" w:sz="4" w:space="0" w:color="auto"/>
            </w:tcBorders>
            <w:hideMark/>
          </w:tcPr>
          <w:p w:rsidR="00902DDA" w:rsidRDefault="00902DDA">
            <w:pPr>
              <w:tabs>
                <w:tab w:val="center" w:pos="1422"/>
                <w:tab w:val="right" w:pos="2844"/>
              </w:tabs>
              <w:rPr>
                <w:b/>
                <w:i/>
                <w:sz w:val="24"/>
                <w:szCs w:val="24"/>
                <w:lang w:val="en-US"/>
              </w:rPr>
            </w:pPr>
            <w:r>
              <w:rPr>
                <w:b/>
                <w:sz w:val="24"/>
                <w:szCs w:val="24"/>
                <w:lang w:val="en-US"/>
              </w:rPr>
              <w:tab/>
              <w:t>Comments</w:t>
            </w:r>
            <w:r>
              <w:rPr>
                <w:b/>
                <w:sz w:val="24"/>
                <w:szCs w:val="24"/>
                <w:lang w:val="en-US"/>
              </w:rPr>
              <w:tab/>
            </w:r>
          </w:p>
        </w:tc>
      </w:tr>
      <w:tr w:rsidR="00902DDA" w:rsidTr="00902DDA">
        <w:tc>
          <w:tcPr>
            <w:tcW w:w="2700" w:type="dxa"/>
            <w:tcBorders>
              <w:top w:val="single" w:sz="4" w:space="0" w:color="auto"/>
              <w:left w:val="single" w:sz="4" w:space="0" w:color="auto"/>
              <w:bottom w:val="single" w:sz="4" w:space="0" w:color="auto"/>
              <w:right w:val="single" w:sz="4" w:space="0" w:color="auto"/>
            </w:tcBorders>
            <w:hideMark/>
          </w:tcPr>
          <w:p w:rsidR="00902DDA" w:rsidRDefault="00902DDA">
            <w:pPr>
              <w:spacing w:before="60" w:after="60"/>
              <w:rPr>
                <w:i/>
                <w:lang w:val="en-US"/>
              </w:rPr>
            </w:pPr>
            <w:r>
              <w:rPr>
                <w:lang w:val="en-US"/>
              </w:rPr>
              <w:t>Control of foreign material (FME)</w:t>
            </w:r>
          </w:p>
        </w:tc>
        <w:tc>
          <w:tcPr>
            <w:tcW w:w="14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180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32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r>
      <w:tr w:rsidR="00902DDA" w:rsidTr="00902DDA">
        <w:tc>
          <w:tcPr>
            <w:tcW w:w="2700" w:type="dxa"/>
            <w:tcBorders>
              <w:top w:val="single" w:sz="4" w:space="0" w:color="auto"/>
              <w:left w:val="single" w:sz="4" w:space="0" w:color="auto"/>
              <w:bottom w:val="single" w:sz="4" w:space="0" w:color="auto"/>
              <w:right w:val="single" w:sz="4" w:space="0" w:color="auto"/>
            </w:tcBorders>
            <w:hideMark/>
          </w:tcPr>
          <w:p w:rsidR="00902DDA" w:rsidRDefault="00902DDA">
            <w:pPr>
              <w:spacing w:before="60" w:after="60"/>
              <w:rPr>
                <w:i/>
                <w:lang w:val="en-US"/>
              </w:rPr>
            </w:pPr>
            <w:r>
              <w:rPr>
                <w:lang w:val="en-US"/>
              </w:rPr>
              <w:t xml:space="preserve">Corrective action </w:t>
            </w:r>
            <w:proofErr w:type="spellStart"/>
            <w:r>
              <w:rPr>
                <w:lang w:val="en-US"/>
              </w:rPr>
              <w:t>programme</w:t>
            </w:r>
            <w:proofErr w:type="spellEnd"/>
          </w:p>
        </w:tc>
        <w:tc>
          <w:tcPr>
            <w:tcW w:w="14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180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32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r>
      <w:tr w:rsidR="00902DDA" w:rsidTr="00902DDA">
        <w:tc>
          <w:tcPr>
            <w:tcW w:w="2700" w:type="dxa"/>
            <w:tcBorders>
              <w:top w:val="single" w:sz="4" w:space="0" w:color="auto"/>
              <w:left w:val="single" w:sz="4" w:space="0" w:color="auto"/>
              <w:bottom w:val="single" w:sz="4" w:space="0" w:color="auto"/>
              <w:right w:val="single" w:sz="4" w:space="0" w:color="auto"/>
            </w:tcBorders>
            <w:hideMark/>
          </w:tcPr>
          <w:p w:rsidR="00902DDA" w:rsidRDefault="00902DDA">
            <w:pPr>
              <w:spacing w:before="60" w:after="60"/>
              <w:rPr>
                <w:i/>
                <w:lang w:val="en-US"/>
              </w:rPr>
            </w:pPr>
            <w:r>
              <w:rPr>
                <w:lang w:val="en-US"/>
              </w:rPr>
              <w:t>Design basis inspections (e.g. systems, structures, components)</w:t>
            </w:r>
          </w:p>
        </w:tc>
        <w:tc>
          <w:tcPr>
            <w:tcW w:w="14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180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32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r>
      <w:tr w:rsidR="00902DDA" w:rsidTr="00902DDA">
        <w:tc>
          <w:tcPr>
            <w:tcW w:w="2700" w:type="dxa"/>
            <w:tcBorders>
              <w:top w:val="single" w:sz="4" w:space="0" w:color="auto"/>
              <w:left w:val="single" w:sz="4" w:space="0" w:color="auto"/>
              <w:bottom w:val="single" w:sz="4" w:space="0" w:color="auto"/>
              <w:right w:val="single" w:sz="4" w:space="0" w:color="auto"/>
            </w:tcBorders>
            <w:hideMark/>
          </w:tcPr>
          <w:p w:rsidR="00902DDA" w:rsidRDefault="00902DDA">
            <w:pPr>
              <w:spacing w:before="60" w:after="60"/>
              <w:rPr>
                <w:i/>
                <w:lang w:val="en-US"/>
              </w:rPr>
            </w:pPr>
            <w:r>
              <w:rPr>
                <w:lang w:val="en-US"/>
              </w:rPr>
              <w:t xml:space="preserve">Emergency preparedness (e.g. </w:t>
            </w:r>
            <w:proofErr w:type="spellStart"/>
            <w:r>
              <w:rPr>
                <w:lang w:val="en-US"/>
              </w:rPr>
              <w:t>programme</w:t>
            </w:r>
            <w:proofErr w:type="spellEnd"/>
            <w:r>
              <w:rPr>
                <w:lang w:val="en-US"/>
              </w:rPr>
              <w:t>, exercises, availability of emergency response facilities)</w:t>
            </w:r>
          </w:p>
        </w:tc>
        <w:tc>
          <w:tcPr>
            <w:tcW w:w="14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180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32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r>
      <w:tr w:rsidR="00902DDA" w:rsidTr="00902DDA">
        <w:tc>
          <w:tcPr>
            <w:tcW w:w="2700" w:type="dxa"/>
            <w:tcBorders>
              <w:top w:val="single" w:sz="4" w:space="0" w:color="auto"/>
              <w:left w:val="single" w:sz="4" w:space="0" w:color="auto"/>
              <w:bottom w:val="single" w:sz="4" w:space="0" w:color="auto"/>
              <w:right w:val="single" w:sz="4" w:space="0" w:color="auto"/>
            </w:tcBorders>
            <w:hideMark/>
          </w:tcPr>
          <w:p w:rsidR="00902DDA" w:rsidRDefault="00902DDA">
            <w:pPr>
              <w:spacing w:before="60" w:after="60"/>
              <w:rPr>
                <w:i/>
                <w:lang w:val="en-US"/>
              </w:rPr>
            </w:pPr>
            <w:r>
              <w:rPr>
                <w:lang w:val="en-US"/>
              </w:rPr>
              <w:t>Environmental issues</w:t>
            </w:r>
          </w:p>
        </w:tc>
        <w:tc>
          <w:tcPr>
            <w:tcW w:w="14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180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32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r>
      <w:tr w:rsidR="00902DDA" w:rsidTr="00902DDA">
        <w:tc>
          <w:tcPr>
            <w:tcW w:w="2700" w:type="dxa"/>
            <w:tcBorders>
              <w:top w:val="single" w:sz="4" w:space="0" w:color="auto"/>
              <w:left w:val="single" w:sz="4" w:space="0" w:color="auto"/>
              <w:bottom w:val="single" w:sz="4" w:space="0" w:color="auto"/>
              <w:right w:val="single" w:sz="4" w:space="0" w:color="auto"/>
            </w:tcBorders>
            <w:hideMark/>
          </w:tcPr>
          <w:p w:rsidR="00902DDA" w:rsidRDefault="00902DDA">
            <w:pPr>
              <w:spacing w:before="60" w:after="60"/>
              <w:rPr>
                <w:i/>
                <w:lang w:val="en-US"/>
              </w:rPr>
            </w:pPr>
            <w:r>
              <w:rPr>
                <w:lang w:val="en-US"/>
              </w:rPr>
              <w:t>Equipment qualification (e.g. maintaining level of requirements)</w:t>
            </w:r>
          </w:p>
        </w:tc>
        <w:tc>
          <w:tcPr>
            <w:tcW w:w="14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180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32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r>
      <w:tr w:rsidR="00902DDA" w:rsidTr="00902DDA">
        <w:tc>
          <w:tcPr>
            <w:tcW w:w="2700" w:type="dxa"/>
            <w:tcBorders>
              <w:top w:val="single" w:sz="4" w:space="0" w:color="auto"/>
              <w:left w:val="single" w:sz="4" w:space="0" w:color="auto"/>
              <w:bottom w:val="single" w:sz="4" w:space="0" w:color="auto"/>
              <w:right w:val="single" w:sz="4" w:space="0" w:color="auto"/>
            </w:tcBorders>
            <w:hideMark/>
          </w:tcPr>
          <w:p w:rsidR="00902DDA" w:rsidRDefault="00902DDA">
            <w:pPr>
              <w:spacing w:before="60" w:after="60"/>
              <w:rPr>
                <w:i/>
                <w:lang w:val="en-US"/>
              </w:rPr>
            </w:pPr>
            <w:r>
              <w:rPr>
                <w:lang w:val="en-US"/>
              </w:rPr>
              <w:t>Financial resources (e.g. cost reduction plans, staffing, materials, etc.)</w:t>
            </w:r>
          </w:p>
        </w:tc>
        <w:tc>
          <w:tcPr>
            <w:tcW w:w="14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180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32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r>
      <w:tr w:rsidR="00902DDA" w:rsidTr="00902DDA">
        <w:tc>
          <w:tcPr>
            <w:tcW w:w="2700" w:type="dxa"/>
            <w:tcBorders>
              <w:top w:val="single" w:sz="4" w:space="0" w:color="auto"/>
              <w:left w:val="single" w:sz="4" w:space="0" w:color="auto"/>
              <w:bottom w:val="single" w:sz="4" w:space="0" w:color="auto"/>
              <w:right w:val="single" w:sz="4" w:space="0" w:color="auto"/>
            </w:tcBorders>
            <w:hideMark/>
          </w:tcPr>
          <w:p w:rsidR="00902DDA" w:rsidRDefault="00902DDA">
            <w:pPr>
              <w:spacing w:before="60" w:after="60"/>
              <w:rPr>
                <w:i/>
                <w:lang w:val="en-US"/>
              </w:rPr>
            </w:pPr>
            <w:r>
              <w:rPr>
                <w:lang w:val="en-US"/>
              </w:rPr>
              <w:t>Fire protection</w:t>
            </w:r>
          </w:p>
        </w:tc>
        <w:tc>
          <w:tcPr>
            <w:tcW w:w="14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180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32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r>
      <w:tr w:rsidR="00902DDA" w:rsidTr="00902DDA">
        <w:tc>
          <w:tcPr>
            <w:tcW w:w="2700" w:type="dxa"/>
            <w:tcBorders>
              <w:top w:val="single" w:sz="4" w:space="0" w:color="auto"/>
              <w:left w:val="single" w:sz="4" w:space="0" w:color="auto"/>
              <w:bottom w:val="single" w:sz="4" w:space="0" w:color="auto"/>
              <w:right w:val="single" w:sz="4" w:space="0" w:color="auto"/>
            </w:tcBorders>
            <w:hideMark/>
          </w:tcPr>
          <w:p w:rsidR="00902DDA" w:rsidRDefault="00902DDA">
            <w:pPr>
              <w:spacing w:before="60" w:after="60"/>
              <w:rPr>
                <w:i/>
                <w:lang w:val="en-US"/>
              </w:rPr>
            </w:pPr>
            <w:r>
              <w:rPr>
                <w:lang w:val="en-US"/>
              </w:rPr>
              <w:t>Housekeeping</w:t>
            </w:r>
          </w:p>
        </w:tc>
        <w:tc>
          <w:tcPr>
            <w:tcW w:w="14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180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32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r>
      <w:tr w:rsidR="00902DDA" w:rsidTr="00902DDA">
        <w:tc>
          <w:tcPr>
            <w:tcW w:w="2700" w:type="dxa"/>
            <w:tcBorders>
              <w:top w:val="single" w:sz="4" w:space="0" w:color="auto"/>
              <w:left w:val="single" w:sz="4" w:space="0" w:color="auto"/>
              <w:bottom w:val="single" w:sz="4" w:space="0" w:color="auto"/>
              <w:right w:val="single" w:sz="4" w:space="0" w:color="auto"/>
            </w:tcBorders>
            <w:hideMark/>
          </w:tcPr>
          <w:p w:rsidR="00902DDA" w:rsidRDefault="00902DDA">
            <w:pPr>
              <w:spacing w:before="60" w:after="60"/>
              <w:rPr>
                <w:i/>
                <w:lang w:val="en-US"/>
              </w:rPr>
            </w:pPr>
            <w:r>
              <w:rPr>
                <w:lang w:val="en-US"/>
              </w:rPr>
              <w:lastRenderedPageBreak/>
              <w:t>In service inspections (periodic tests)</w:t>
            </w:r>
          </w:p>
        </w:tc>
        <w:tc>
          <w:tcPr>
            <w:tcW w:w="14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180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32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r>
      <w:tr w:rsidR="00902DDA" w:rsidTr="00902DDA">
        <w:tc>
          <w:tcPr>
            <w:tcW w:w="2700" w:type="dxa"/>
            <w:tcBorders>
              <w:top w:val="single" w:sz="4" w:space="0" w:color="auto"/>
              <w:left w:val="single" w:sz="4" w:space="0" w:color="auto"/>
              <w:bottom w:val="single" w:sz="4" w:space="0" w:color="auto"/>
              <w:right w:val="single" w:sz="4" w:space="0" w:color="auto"/>
            </w:tcBorders>
            <w:hideMark/>
          </w:tcPr>
          <w:p w:rsidR="00902DDA" w:rsidRDefault="00902DDA">
            <w:pPr>
              <w:spacing w:before="60" w:after="60"/>
              <w:rPr>
                <w:i/>
                <w:lang w:val="en-US"/>
              </w:rPr>
            </w:pPr>
            <w:r>
              <w:rPr>
                <w:lang w:val="en-US"/>
              </w:rPr>
              <w:t>Industrial safety (personal safety)</w:t>
            </w:r>
          </w:p>
        </w:tc>
        <w:tc>
          <w:tcPr>
            <w:tcW w:w="14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180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32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r>
      <w:tr w:rsidR="00902DDA" w:rsidTr="00902DDA">
        <w:tc>
          <w:tcPr>
            <w:tcW w:w="2700" w:type="dxa"/>
            <w:tcBorders>
              <w:top w:val="single" w:sz="4" w:space="0" w:color="auto"/>
              <w:left w:val="single" w:sz="4" w:space="0" w:color="auto"/>
              <w:bottom w:val="single" w:sz="4" w:space="0" w:color="auto"/>
              <w:right w:val="single" w:sz="4" w:space="0" w:color="auto"/>
            </w:tcBorders>
            <w:hideMark/>
          </w:tcPr>
          <w:p w:rsidR="00902DDA" w:rsidRDefault="00902DDA">
            <w:pPr>
              <w:spacing w:before="60" w:after="60"/>
              <w:rPr>
                <w:i/>
                <w:lang w:val="en-US"/>
              </w:rPr>
            </w:pPr>
            <w:r>
              <w:rPr>
                <w:lang w:val="en-US"/>
              </w:rPr>
              <w:t>Licensee interaction with external stakeholders</w:t>
            </w:r>
          </w:p>
        </w:tc>
        <w:tc>
          <w:tcPr>
            <w:tcW w:w="14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180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32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r>
      <w:tr w:rsidR="00902DDA" w:rsidTr="00902DDA">
        <w:tc>
          <w:tcPr>
            <w:tcW w:w="2700" w:type="dxa"/>
            <w:tcBorders>
              <w:top w:val="single" w:sz="4" w:space="0" w:color="auto"/>
              <w:left w:val="single" w:sz="4" w:space="0" w:color="auto"/>
              <w:bottom w:val="single" w:sz="4" w:space="0" w:color="auto"/>
              <w:right w:val="single" w:sz="4" w:space="0" w:color="auto"/>
            </w:tcBorders>
            <w:hideMark/>
          </w:tcPr>
          <w:p w:rsidR="00902DDA" w:rsidRDefault="00902DDA">
            <w:pPr>
              <w:spacing w:before="60" w:after="60"/>
              <w:rPr>
                <w:i/>
                <w:lang w:val="en-US"/>
              </w:rPr>
            </w:pPr>
            <w:r>
              <w:rPr>
                <w:lang w:val="en-US"/>
              </w:rPr>
              <w:t>Maintenance activities</w:t>
            </w:r>
          </w:p>
        </w:tc>
        <w:tc>
          <w:tcPr>
            <w:tcW w:w="14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180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32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r>
      <w:tr w:rsidR="00902DDA" w:rsidTr="00902DDA">
        <w:tc>
          <w:tcPr>
            <w:tcW w:w="2700" w:type="dxa"/>
            <w:tcBorders>
              <w:top w:val="single" w:sz="4" w:space="0" w:color="auto"/>
              <w:left w:val="single" w:sz="4" w:space="0" w:color="auto"/>
              <w:bottom w:val="single" w:sz="4" w:space="0" w:color="auto"/>
              <w:right w:val="single" w:sz="4" w:space="0" w:color="auto"/>
            </w:tcBorders>
            <w:hideMark/>
          </w:tcPr>
          <w:p w:rsidR="00902DDA" w:rsidRDefault="00902DDA">
            <w:pPr>
              <w:spacing w:before="60" w:after="60"/>
              <w:rPr>
                <w:i/>
                <w:lang w:val="en-US"/>
              </w:rPr>
            </w:pPr>
            <w:r>
              <w:rPr>
                <w:lang w:val="en-US"/>
              </w:rPr>
              <w:t>Management of contractors</w:t>
            </w:r>
          </w:p>
        </w:tc>
        <w:tc>
          <w:tcPr>
            <w:tcW w:w="14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180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32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r>
      <w:tr w:rsidR="00902DDA" w:rsidTr="00902DDA">
        <w:tc>
          <w:tcPr>
            <w:tcW w:w="2700" w:type="dxa"/>
            <w:tcBorders>
              <w:top w:val="single" w:sz="4" w:space="0" w:color="auto"/>
              <w:left w:val="single" w:sz="4" w:space="0" w:color="auto"/>
              <w:bottom w:val="single" w:sz="4" w:space="0" w:color="auto"/>
              <w:right w:val="single" w:sz="4" w:space="0" w:color="auto"/>
            </w:tcBorders>
            <w:hideMark/>
          </w:tcPr>
          <w:p w:rsidR="00902DDA" w:rsidRDefault="00902DDA">
            <w:pPr>
              <w:spacing w:before="60" w:after="60"/>
              <w:rPr>
                <w:i/>
                <w:lang w:val="en-US"/>
              </w:rPr>
            </w:pPr>
            <w:r>
              <w:rPr>
                <w:lang w:val="en-US"/>
              </w:rPr>
              <w:t>Modifications (permanent and temporary)</w:t>
            </w:r>
          </w:p>
        </w:tc>
        <w:tc>
          <w:tcPr>
            <w:tcW w:w="14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180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32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r>
      <w:tr w:rsidR="00902DDA" w:rsidTr="00902DDA">
        <w:tc>
          <w:tcPr>
            <w:tcW w:w="2700" w:type="dxa"/>
            <w:tcBorders>
              <w:top w:val="single" w:sz="4" w:space="0" w:color="auto"/>
              <w:left w:val="single" w:sz="4" w:space="0" w:color="auto"/>
              <w:bottom w:val="single" w:sz="4" w:space="0" w:color="auto"/>
              <w:right w:val="single" w:sz="4" w:space="0" w:color="auto"/>
            </w:tcBorders>
            <w:hideMark/>
          </w:tcPr>
          <w:p w:rsidR="00902DDA" w:rsidRDefault="00902DDA">
            <w:pPr>
              <w:spacing w:before="60" w:after="60"/>
              <w:rPr>
                <w:i/>
                <w:lang w:val="en-US"/>
              </w:rPr>
            </w:pPr>
            <w:proofErr w:type="spellStart"/>
            <w:r>
              <w:rPr>
                <w:lang w:val="en-US"/>
              </w:rPr>
              <w:t>Organisation</w:t>
            </w:r>
            <w:proofErr w:type="spellEnd"/>
            <w:r>
              <w:rPr>
                <w:lang w:val="en-US"/>
              </w:rPr>
              <w:t xml:space="preserve"> and general management</w:t>
            </w:r>
          </w:p>
        </w:tc>
        <w:tc>
          <w:tcPr>
            <w:tcW w:w="14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180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32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r>
      <w:tr w:rsidR="00902DDA" w:rsidTr="00902DDA">
        <w:tc>
          <w:tcPr>
            <w:tcW w:w="2700" w:type="dxa"/>
            <w:tcBorders>
              <w:top w:val="single" w:sz="4" w:space="0" w:color="auto"/>
              <w:left w:val="single" w:sz="4" w:space="0" w:color="auto"/>
              <w:bottom w:val="single" w:sz="4" w:space="0" w:color="auto"/>
              <w:right w:val="single" w:sz="4" w:space="0" w:color="auto"/>
            </w:tcBorders>
            <w:hideMark/>
          </w:tcPr>
          <w:p w:rsidR="00902DDA" w:rsidRDefault="00902DDA">
            <w:pPr>
              <w:spacing w:before="60" w:after="60"/>
              <w:rPr>
                <w:i/>
                <w:lang w:val="en-US"/>
              </w:rPr>
            </w:pPr>
            <w:r>
              <w:rPr>
                <w:lang w:val="en-US"/>
              </w:rPr>
              <w:t>Qualification of licensee staff or contractors (e.g. new staff, language challenges, preservation of knowhow)</w:t>
            </w:r>
          </w:p>
        </w:tc>
        <w:tc>
          <w:tcPr>
            <w:tcW w:w="14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180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32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r>
      <w:tr w:rsidR="00902DDA" w:rsidTr="00902DDA">
        <w:tc>
          <w:tcPr>
            <w:tcW w:w="2700" w:type="dxa"/>
            <w:tcBorders>
              <w:top w:val="single" w:sz="4" w:space="0" w:color="auto"/>
              <w:left w:val="single" w:sz="4" w:space="0" w:color="auto"/>
              <w:bottom w:val="single" w:sz="4" w:space="0" w:color="auto"/>
              <w:right w:val="single" w:sz="4" w:space="0" w:color="auto"/>
            </w:tcBorders>
            <w:hideMark/>
          </w:tcPr>
          <w:p w:rsidR="00902DDA" w:rsidRDefault="00902DDA">
            <w:pPr>
              <w:spacing w:before="60" w:after="60"/>
              <w:rPr>
                <w:i/>
                <w:lang w:val="en-US"/>
              </w:rPr>
            </w:pPr>
            <w:r>
              <w:rPr>
                <w:lang w:val="en-US"/>
              </w:rPr>
              <w:t>Quality assurance</w:t>
            </w:r>
          </w:p>
        </w:tc>
        <w:tc>
          <w:tcPr>
            <w:tcW w:w="14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180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32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r>
      <w:tr w:rsidR="00902DDA" w:rsidTr="00902DDA">
        <w:tc>
          <w:tcPr>
            <w:tcW w:w="2700" w:type="dxa"/>
            <w:tcBorders>
              <w:top w:val="single" w:sz="4" w:space="0" w:color="auto"/>
              <w:left w:val="single" w:sz="4" w:space="0" w:color="auto"/>
              <w:bottom w:val="single" w:sz="4" w:space="0" w:color="auto"/>
              <w:right w:val="single" w:sz="4" w:space="0" w:color="auto"/>
            </w:tcBorders>
            <w:hideMark/>
          </w:tcPr>
          <w:p w:rsidR="00902DDA" w:rsidRDefault="00902DDA">
            <w:pPr>
              <w:spacing w:before="60" w:after="60"/>
              <w:rPr>
                <w:i/>
                <w:lang w:val="en-US"/>
              </w:rPr>
            </w:pPr>
            <w:r>
              <w:rPr>
                <w:lang w:val="en-US"/>
              </w:rPr>
              <w:t>Radiological protection</w:t>
            </w:r>
          </w:p>
        </w:tc>
        <w:tc>
          <w:tcPr>
            <w:tcW w:w="14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180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32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r>
      <w:tr w:rsidR="00902DDA" w:rsidTr="00902DDA">
        <w:tc>
          <w:tcPr>
            <w:tcW w:w="2700" w:type="dxa"/>
            <w:tcBorders>
              <w:top w:val="single" w:sz="4" w:space="0" w:color="auto"/>
              <w:left w:val="single" w:sz="4" w:space="0" w:color="auto"/>
              <w:bottom w:val="single" w:sz="4" w:space="0" w:color="auto"/>
              <w:right w:val="single" w:sz="4" w:space="0" w:color="auto"/>
            </w:tcBorders>
            <w:hideMark/>
          </w:tcPr>
          <w:p w:rsidR="00902DDA" w:rsidRDefault="00902DDA">
            <w:pPr>
              <w:spacing w:before="60" w:after="60"/>
              <w:rPr>
                <w:i/>
                <w:lang w:val="en-US"/>
              </w:rPr>
            </w:pPr>
            <w:r>
              <w:rPr>
                <w:lang w:val="en-US"/>
              </w:rPr>
              <w:t>Safety culture (e.g. motivation of staff, staff turnover)</w:t>
            </w:r>
          </w:p>
        </w:tc>
        <w:tc>
          <w:tcPr>
            <w:tcW w:w="14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180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32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r>
      <w:tr w:rsidR="00902DDA" w:rsidTr="00902DDA">
        <w:tc>
          <w:tcPr>
            <w:tcW w:w="2700" w:type="dxa"/>
            <w:tcBorders>
              <w:top w:val="single" w:sz="4" w:space="0" w:color="auto"/>
              <w:left w:val="single" w:sz="4" w:space="0" w:color="auto"/>
              <w:bottom w:val="single" w:sz="4" w:space="0" w:color="auto"/>
              <w:right w:val="single" w:sz="4" w:space="0" w:color="auto"/>
            </w:tcBorders>
            <w:hideMark/>
          </w:tcPr>
          <w:p w:rsidR="00902DDA" w:rsidRDefault="00902DDA">
            <w:pPr>
              <w:spacing w:before="60" w:after="60"/>
              <w:rPr>
                <w:i/>
                <w:lang w:val="en-US"/>
              </w:rPr>
            </w:pPr>
            <w:r>
              <w:rPr>
                <w:lang w:val="en-US"/>
              </w:rPr>
              <w:t>Staffing levels (e.g. minimum shift complement, Emergency Response Team, etc.)</w:t>
            </w:r>
          </w:p>
        </w:tc>
        <w:tc>
          <w:tcPr>
            <w:tcW w:w="14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180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32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r>
      <w:tr w:rsidR="00902DDA" w:rsidTr="00902DDA">
        <w:tc>
          <w:tcPr>
            <w:tcW w:w="2700" w:type="dxa"/>
            <w:tcBorders>
              <w:top w:val="single" w:sz="4" w:space="0" w:color="auto"/>
              <w:left w:val="single" w:sz="4" w:space="0" w:color="auto"/>
              <w:bottom w:val="single" w:sz="4" w:space="0" w:color="auto"/>
              <w:right w:val="single" w:sz="4" w:space="0" w:color="auto"/>
            </w:tcBorders>
            <w:hideMark/>
          </w:tcPr>
          <w:p w:rsidR="00902DDA" w:rsidRDefault="00902DDA">
            <w:pPr>
              <w:spacing w:before="60" w:after="60"/>
              <w:rPr>
                <w:i/>
                <w:lang w:val="en-US"/>
              </w:rPr>
            </w:pPr>
            <w:r>
              <w:rPr>
                <w:lang w:val="en-US"/>
              </w:rPr>
              <w:t>Sub-criticality and fuel safety</w:t>
            </w:r>
          </w:p>
        </w:tc>
        <w:tc>
          <w:tcPr>
            <w:tcW w:w="14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180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32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r>
      <w:tr w:rsidR="00902DDA" w:rsidTr="00902DDA">
        <w:tc>
          <w:tcPr>
            <w:tcW w:w="2700" w:type="dxa"/>
            <w:tcBorders>
              <w:top w:val="single" w:sz="4" w:space="0" w:color="auto"/>
              <w:left w:val="single" w:sz="4" w:space="0" w:color="auto"/>
              <w:bottom w:val="single" w:sz="4" w:space="0" w:color="auto"/>
              <w:right w:val="single" w:sz="4" w:space="0" w:color="auto"/>
            </w:tcBorders>
            <w:hideMark/>
          </w:tcPr>
          <w:p w:rsidR="00902DDA" w:rsidRDefault="00902DDA">
            <w:pPr>
              <w:spacing w:before="60" w:after="60"/>
              <w:rPr>
                <w:i/>
                <w:lang w:val="en-US"/>
              </w:rPr>
            </w:pPr>
            <w:r>
              <w:rPr>
                <w:lang w:val="en-US"/>
              </w:rPr>
              <w:t xml:space="preserve">Training </w:t>
            </w:r>
            <w:proofErr w:type="spellStart"/>
            <w:r>
              <w:rPr>
                <w:lang w:val="en-US"/>
              </w:rPr>
              <w:t>programmes</w:t>
            </w:r>
            <w:proofErr w:type="spellEnd"/>
          </w:p>
        </w:tc>
        <w:tc>
          <w:tcPr>
            <w:tcW w:w="14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180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32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r>
      <w:tr w:rsidR="00902DDA" w:rsidTr="00902DDA">
        <w:tc>
          <w:tcPr>
            <w:tcW w:w="2700" w:type="dxa"/>
            <w:tcBorders>
              <w:top w:val="single" w:sz="4" w:space="0" w:color="auto"/>
              <w:left w:val="single" w:sz="4" w:space="0" w:color="auto"/>
              <w:bottom w:val="single" w:sz="4" w:space="0" w:color="auto"/>
              <w:right w:val="single" w:sz="4" w:space="0" w:color="auto"/>
            </w:tcBorders>
            <w:hideMark/>
          </w:tcPr>
          <w:p w:rsidR="00902DDA" w:rsidRDefault="00902DDA">
            <w:pPr>
              <w:spacing w:before="60" w:after="60"/>
              <w:rPr>
                <w:i/>
                <w:lang w:val="en-US"/>
              </w:rPr>
            </w:pPr>
            <w:r>
              <w:rPr>
                <w:lang w:val="en-US"/>
              </w:rPr>
              <w:t>Waste management</w:t>
            </w:r>
          </w:p>
        </w:tc>
        <w:tc>
          <w:tcPr>
            <w:tcW w:w="14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180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32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r>
      <w:tr w:rsidR="00902DDA" w:rsidTr="00902DDA">
        <w:tc>
          <w:tcPr>
            <w:tcW w:w="2700" w:type="dxa"/>
            <w:tcBorders>
              <w:top w:val="single" w:sz="4" w:space="0" w:color="auto"/>
              <w:left w:val="single" w:sz="4" w:space="0" w:color="auto"/>
              <w:bottom w:val="single" w:sz="4" w:space="0" w:color="auto"/>
              <w:right w:val="single" w:sz="4" w:space="0" w:color="auto"/>
            </w:tcBorders>
            <w:hideMark/>
          </w:tcPr>
          <w:p w:rsidR="00902DDA" w:rsidRDefault="00902DDA">
            <w:pPr>
              <w:spacing w:before="60" w:after="60"/>
              <w:rPr>
                <w:i/>
                <w:lang w:val="en-US"/>
              </w:rPr>
            </w:pPr>
            <w:r>
              <w:rPr>
                <w:lang w:val="en-US"/>
              </w:rPr>
              <w:t>*Other:________________</w:t>
            </w:r>
          </w:p>
        </w:tc>
        <w:tc>
          <w:tcPr>
            <w:tcW w:w="14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180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32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r>
      <w:tr w:rsidR="00902DDA" w:rsidTr="00902DDA">
        <w:tc>
          <w:tcPr>
            <w:tcW w:w="2700" w:type="dxa"/>
            <w:tcBorders>
              <w:top w:val="single" w:sz="4" w:space="0" w:color="auto"/>
              <w:left w:val="single" w:sz="4" w:space="0" w:color="auto"/>
              <w:bottom w:val="single" w:sz="4" w:space="0" w:color="auto"/>
              <w:right w:val="single" w:sz="4" w:space="0" w:color="auto"/>
            </w:tcBorders>
            <w:hideMark/>
          </w:tcPr>
          <w:p w:rsidR="00902DDA" w:rsidRDefault="00902DDA">
            <w:pPr>
              <w:spacing w:before="60" w:after="60"/>
              <w:rPr>
                <w:i/>
                <w:lang w:val="en-US"/>
              </w:rPr>
            </w:pPr>
            <w:r>
              <w:rPr>
                <w:lang w:val="en-US"/>
              </w:rPr>
              <w:t>*Other:________________</w:t>
            </w:r>
          </w:p>
        </w:tc>
        <w:tc>
          <w:tcPr>
            <w:tcW w:w="14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180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32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r>
      <w:tr w:rsidR="00902DDA" w:rsidTr="00902DDA">
        <w:tc>
          <w:tcPr>
            <w:tcW w:w="2700" w:type="dxa"/>
            <w:tcBorders>
              <w:top w:val="single" w:sz="4" w:space="0" w:color="auto"/>
              <w:left w:val="single" w:sz="4" w:space="0" w:color="auto"/>
              <w:bottom w:val="single" w:sz="4" w:space="0" w:color="auto"/>
              <w:right w:val="single" w:sz="4" w:space="0" w:color="auto"/>
            </w:tcBorders>
            <w:hideMark/>
          </w:tcPr>
          <w:p w:rsidR="00902DDA" w:rsidRDefault="00902DDA">
            <w:pPr>
              <w:spacing w:before="60" w:after="60"/>
              <w:rPr>
                <w:i/>
                <w:lang w:val="en-US"/>
              </w:rPr>
            </w:pPr>
            <w:r>
              <w:rPr>
                <w:lang w:val="en-US"/>
              </w:rPr>
              <w:t>*Other:________________</w:t>
            </w:r>
          </w:p>
        </w:tc>
        <w:tc>
          <w:tcPr>
            <w:tcW w:w="14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180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c>
          <w:tcPr>
            <w:tcW w:w="3240" w:type="dxa"/>
            <w:tcBorders>
              <w:top w:val="single" w:sz="4" w:space="0" w:color="auto"/>
              <w:left w:val="single" w:sz="4" w:space="0" w:color="auto"/>
              <w:bottom w:val="single" w:sz="4" w:space="0" w:color="auto"/>
              <w:right w:val="single" w:sz="4" w:space="0" w:color="auto"/>
            </w:tcBorders>
          </w:tcPr>
          <w:p w:rsidR="00902DDA" w:rsidRDefault="00902DDA">
            <w:pPr>
              <w:spacing w:before="60" w:after="60"/>
              <w:rPr>
                <w:i/>
                <w:lang w:val="en-US"/>
              </w:rPr>
            </w:pPr>
          </w:p>
        </w:tc>
      </w:tr>
    </w:tbl>
    <w:p w:rsidR="00902DDA" w:rsidRDefault="00902DDA" w:rsidP="00902DDA">
      <w:pPr>
        <w:ind w:left="900" w:hanging="180"/>
        <w:rPr>
          <w:sz w:val="24"/>
          <w:szCs w:val="24"/>
        </w:rPr>
      </w:pPr>
      <w:r>
        <w:rPr>
          <w:sz w:val="24"/>
          <w:szCs w:val="24"/>
        </w:rPr>
        <w:t>*Any other specific areas not mentioned above</w:t>
      </w:r>
    </w:p>
    <w:p w:rsidR="00902DDA" w:rsidRPr="00902DDA" w:rsidRDefault="00902DDA" w:rsidP="00902DDA">
      <w:pPr>
        <w:tabs>
          <w:tab w:val="clear" w:pos="850"/>
          <w:tab w:val="clear" w:pos="1191"/>
          <w:tab w:val="clear" w:pos="1531"/>
        </w:tabs>
        <w:spacing w:after="200" w:line="276" w:lineRule="auto"/>
        <w:jc w:val="left"/>
        <w:rPr>
          <w:sz w:val="24"/>
          <w:szCs w:val="24"/>
        </w:rPr>
      </w:pPr>
      <w:r>
        <w:rPr>
          <w:sz w:val="24"/>
          <w:szCs w:val="24"/>
        </w:rPr>
        <w:br w:type="page"/>
      </w:r>
    </w:p>
    <w:p w:rsidR="00902DDA" w:rsidRDefault="00902DDA" w:rsidP="00902DDA">
      <w:pPr>
        <w:numPr>
          <w:ilvl w:val="0"/>
          <w:numId w:val="2"/>
        </w:numPr>
        <w:tabs>
          <w:tab w:val="left" w:pos="720"/>
        </w:tabs>
        <w:ind w:left="360"/>
        <w:contextualSpacing/>
        <w:rPr>
          <w:b/>
          <w:i/>
          <w:sz w:val="24"/>
          <w:szCs w:val="24"/>
        </w:rPr>
      </w:pPr>
      <w:r>
        <w:rPr>
          <w:b/>
          <w:sz w:val="24"/>
          <w:szCs w:val="24"/>
        </w:rPr>
        <w:lastRenderedPageBreak/>
        <w:t>RB ORGANISATIONAL MANAGEMENT</w:t>
      </w:r>
    </w:p>
    <w:p w:rsidR="00902DDA" w:rsidRDefault="00902DDA" w:rsidP="00902DDA">
      <w:pPr>
        <w:rPr>
          <w:i/>
          <w:sz w:val="24"/>
          <w:szCs w:val="24"/>
        </w:rPr>
      </w:pPr>
    </w:p>
    <w:p w:rsidR="00902DDA" w:rsidRDefault="00902DDA" w:rsidP="00902DDA">
      <w:pPr>
        <w:rPr>
          <w:i/>
          <w:sz w:val="24"/>
          <w:szCs w:val="24"/>
        </w:rPr>
      </w:pPr>
      <w:r>
        <w:rPr>
          <w:sz w:val="24"/>
          <w:szCs w:val="24"/>
        </w:rPr>
        <w:t>4.1 Describe how your RB manages internal changes to face new challenges resulting from a licensee’s commitment to permanently cease power operations and to verify the continued effectiveness of its inspection capabilities. Include in your response a discussion of the following areas:</w:t>
      </w:r>
    </w:p>
    <w:p w:rsidR="00902DDA" w:rsidRDefault="00902DDA" w:rsidP="00902DDA">
      <w:pPr>
        <w:rPr>
          <w:i/>
          <w:sz w:val="24"/>
          <w:szCs w:val="24"/>
        </w:rPr>
      </w:pPr>
    </w:p>
    <w:p w:rsidR="00902DDA" w:rsidRDefault="00902DDA" w:rsidP="00902DDA">
      <w:pPr>
        <w:rPr>
          <w:i/>
          <w:sz w:val="24"/>
          <w:szCs w:val="24"/>
        </w:rPr>
      </w:pPr>
      <w:proofErr w:type="gramStart"/>
      <w:r>
        <w:rPr>
          <w:sz w:val="24"/>
          <w:szCs w:val="24"/>
        </w:rPr>
        <w:t>a</w:t>
      </w:r>
      <w:proofErr w:type="gramEnd"/>
      <w:r>
        <w:rPr>
          <w:sz w:val="24"/>
          <w:szCs w:val="24"/>
        </w:rPr>
        <w:t>. organisational structure of the RB</w:t>
      </w:r>
    </w:p>
    <w:p w:rsidR="00902DDA" w:rsidRDefault="00902DDA" w:rsidP="00902DDA">
      <w:pPr>
        <w:rPr>
          <w:i/>
          <w:sz w:val="24"/>
          <w:szCs w:val="24"/>
        </w:rPr>
      </w:pPr>
      <w:proofErr w:type="gramStart"/>
      <w:r>
        <w:rPr>
          <w:sz w:val="24"/>
          <w:szCs w:val="24"/>
        </w:rPr>
        <w:t>b</w:t>
      </w:r>
      <w:proofErr w:type="gramEnd"/>
      <w:r>
        <w:rPr>
          <w:sz w:val="24"/>
          <w:szCs w:val="24"/>
        </w:rPr>
        <w:t>. changes to the number of inspectors</w:t>
      </w:r>
    </w:p>
    <w:p w:rsidR="00902DDA" w:rsidRDefault="00902DDA" w:rsidP="00902DDA">
      <w:pPr>
        <w:rPr>
          <w:i/>
          <w:sz w:val="24"/>
          <w:szCs w:val="24"/>
        </w:rPr>
      </w:pPr>
      <w:proofErr w:type="gramStart"/>
      <w:r>
        <w:rPr>
          <w:sz w:val="24"/>
          <w:szCs w:val="24"/>
        </w:rPr>
        <w:t>c</w:t>
      </w:r>
      <w:proofErr w:type="gramEnd"/>
      <w:r>
        <w:rPr>
          <w:sz w:val="24"/>
          <w:szCs w:val="24"/>
        </w:rPr>
        <w:t>. training of inspectors</w:t>
      </w:r>
    </w:p>
    <w:p w:rsidR="00902DDA" w:rsidRDefault="00902DDA" w:rsidP="00902DDA">
      <w:pPr>
        <w:rPr>
          <w:i/>
          <w:sz w:val="24"/>
          <w:szCs w:val="24"/>
        </w:rPr>
      </w:pPr>
      <w:proofErr w:type="gramStart"/>
      <w:r>
        <w:rPr>
          <w:sz w:val="24"/>
          <w:szCs w:val="24"/>
        </w:rPr>
        <w:t>d</w:t>
      </w:r>
      <w:proofErr w:type="gramEnd"/>
      <w:r>
        <w:rPr>
          <w:sz w:val="24"/>
          <w:szCs w:val="24"/>
        </w:rPr>
        <w:t>. safety culture (e.g. motivation of RB inspectors)</w:t>
      </w:r>
    </w:p>
    <w:p w:rsidR="00902DDA" w:rsidRDefault="00902DDA" w:rsidP="00902DDA">
      <w:pPr>
        <w:rPr>
          <w:i/>
          <w:sz w:val="24"/>
          <w:szCs w:val="24"/>
        </w:rPr>
      </w:pPr>
    </w:p>
    <w:p w:rsidR="00902DDA" w:rsidRDefault="00902DDA" w:rsidP="00902DDA">
      <w:pPr>
        <w:rPr>
          <w:i/>
          <w:sz w:val="24"/>
          <w:szCs w:val="24"/>
        </w:rPr>
      </w:pPr>
      <w:r>
        <w:rPr>
          <w:sz w:val="24"/>
          <w:szCs w:val="24"/>
        </w:rPr>
        <w:t>4.2 Describe how your RB uses international inspection experience for nuclear power plants that have committed to and eventually permanently ceased power operations.</w:t>
      </w:r>
    </w:p>
    <w:p w:rsidR="00902DDA" w:rsidRDefault="00902DDA" w:rsidP="00902DDA">
      <w:pPr>
        <w:rPr>
          <w:i/>
          <w:sz w:val="24"/>
          <w:szCs w:val="24"/>
        </w:rPr>
      </w:pPr>
    </w:p>
    <w:p w:rsidR="00902DDA" w:rsidRDefault="00902DDA" w:rsidP="00902DDA">
      <w:pPr>
        <w:rPr>
          <w:i/>
          <w:sz w:val="24"/>
          <w:szCs w:val="24"/>
        </w:rPr>
      </w:pPr>
    </w:p>
    <w:p w:rsidR="00902DDA" w:rsidRDefault="00902DDA" w:rsidP="00902DDA">
      <w:pPr>
        <w:tabs>
          <w:tab w:val="left" w:pos="720"/>
        </w:tabs>
        <w:autoSpaceDE w:val="0"/>
        <w:autoSpaceDN w:val="0"/>
        <w:adjustRightInd w:val="0"/>
        <w:spacing w:after="240"/>
        <w:rPr>
          <w:i/>
          <w:sz w:val="24"/>
          <w:szCs w:val="24"/>
        </w:rPr>
      </w:pPr>
      <w:r>
        <w:rPr>
          <w:sz w:val="24"/>
          <w:szCs w:val="24"/>
        </w:rPr>
        <w:t>Are there any other important topics that you would like to be considered at the workshop?</w:t>
      </w:r>
    </w:p>
    <w:p w:rsidR="00FD5CF5" w:rsidRPr="00902DDA" w:rsidRDefault="00FD5CF5" w:rsidP="00902DDA">
      <w:pPr>
        <w:pStyle w:val="ListBullet"/>
        <w:numPr>
          <w:ilvl w:val="0"/>
          <w:numId w:val="0"/>
        </w:numPr>
        <w:tabs>
          <w:tab w:val="num" w:pos="567"/>
          <w:tab w:val="num" w:pos="851"/>
        </w:tabs>
        <w:rPr>
          <w:i/>
        </w:rPr>
      </w:pPr>
    </w:p>
    <w:sectPr w:rsidR="00FD5CF5" w:rsidRPr="00902DDA" w:rsidSect="00902DDA">
      <w:headerReference w:type="even" r:id="rId10"/>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3E7" w:rsidRDefault="007A33E7" w:rsidP="00902DDA">
      <w:r>
        <w:separator/>
      </w:r>
    </w:p>
  </w:endnote>
  <w:endnote w:type="continuationSeparator" w:id="0">
    <w:p w:rsidR="007A33E7" w:rsidRDefault="007A33E7" w:rsidP="0090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265709"/>
      <w:docPartObj>
        <w:docPartGallery w:val="Page Numbers (Bottom of Page)"/>
        <w:docPartUnique/>
      </w:docPartObj>
    </w:sdtPr>
    <w:sdtEndPr>
      <w:rPr>
        <w:noProof/>
      </w:rPr>
    </w:sdtEndPr>
    <w:sdtContent>
      <w:p w:rsidR="00902DDA" w:rsidRDefault="00902DDA">
        <w:pPr>
          <w:pStyle w:val="Footer"/>
          <w:jc w:val="center"/>
        </w:pPr>
        <w:r>
          <w:fldChar w:fldCharType="begin"/>
        </w:r>
        <w:r>
          <w:instrText xml:space="preserve"> PAGE   \* MERGEFORMAT </w:instrText>
        </w:r>
        <w:r>
          <w:fldChar w:fldCharType="separate"/>
        </w:r>
        <w:r w:rsidR="00A54E00">
          <w:rPr>
            <w:noProof/>
          </w:rPr>
          <w:t>4</w:t>
        </w:r>
        <w:r>
          <w:rPr>
            <w:noProof/>
          </w:rPr>
          <w:fldChar w:fldCharType="end"/>
        </w:r>
      </w:p>
    </w:sdtContent>
  </w:sdt>
  <w:p w:rsidR="00902DDA" w:rsidRDefault="00902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779095"/>
      <w:docPartObj>
        <w:docPartGallery w:val="Page Numbers (Bottom of Page)"/>
        <w:docPartUnique/>
      </w:docPartObj>
    </w:sdtPr>
    <w:sdtEndPr>
      <w:rPr>
        <w:noProof/>
      </w:rPr>
    </w:sdtEndPr>
    <w:sdtContent>
      <w:p w:rsidR="00902DDA" w:rsidRDefault="00902DDA">
        <w:pPr>
          <w:pStyle w:val="Footer"/>
          <w:jc w:val="center"/>
        </w:pPr>
        <w:r>
          <w:fldChar w:fldCharType="begin"/>
        </w:r>
        <w:r>
          <w:instrText xml:space="preserve"> PAGE   \* MERGEFORMAT </w:instrText>
        </w:r>
        <w:r>
          <w:fldChar w:fldCharType="separate"/>
        </w:r>
        <w:r w:rsidR="00A54E00">
          <w:rPr>
            <w:noProof/>
          </w:rPr>
          <w:t>1</w:t>
        </w:r>
        <w:r>
          <w:rPr>
            <w:noProof/>
          </w:rPr>
          <w:fldChar w:fldCharType="end"/>
        </w:r>
      </w:p>
    </w:sdtContent>
  </w:sdt>
  <w:p w:rsidR="00902DDA" w:rsidRDefault="00902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3E7" w:rsidRDefault="007A33E7" w:rsidP="00902DDA">
      <w:r>
        <w:separator/>
      </w:r>
    </w:p>
  </w:footnote>
  <w:footnote w:type="continuationSeparator" w:id="0">
    <w:p w:rsidR="007A33E7" w:rsidRDefault="007A33E7" w:rsidP="00902DDA">
      <w:r>
        <w:continuationSeparator/>
      </w:r>
    </w:p>
  </w:footnote>
  <w:footnote w:id="1">
    <w:p w:rsidR="00902DDA" w:rsidRDefault="00902DDA" w:rsidP="00902DDA">
      <w:pPr>
        <w:pStyle w:val="FootnoteText"/>
        <w:ind w:left="142" w:hanging="142"/>
      </w:pPr>
      <w:r>
        <w:rPr>
          <w:rStyle w:val="FootnoteReference"/>
        </w:rPr>
        <w:footnoteRef/>
      </w:r>
      <w:r>
        <w:t xml:space="preserve"> Financial resources to continue safe operation of the NPP till the end of life. This does not cover funds for     decommissioning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DA" w:rsidRPr="00902DDA" w:rsidRDefault="00902DDA" w:rsidP="00902DDA">
    <w:pPr>
      <w:pStyle w:val="Header"/>
      <w:tabs>
        <w:tab w:val="right" w:pos="9639"/>
      </w:tabs>
      <w:jc w:val="right"/>
      <w:rPr>
        <w:sz w:val="18"/>
        <w:szCs w:val="18"/>
      </w:rPr>
    </w:pPr>
    <w:r w:rsidRPr="00B0007F">
      <w:rPr>
        <w:sz w:val="18"/>
        <w:szCs w:val="18"/>
      </w:rPr>
      <w:t>1</w:t>
    </w:r>
    <w:r>
      <w:rPr>
        <w:sz w:val="18"/>
        <w:szCs w:val="18"/>
      </w:rPr>
      <w:t>3</w:t>
    </w:r>
    <w:r w:rsidRPr="002B74DC">
      <w:rPr>
        <w:sz w:val="18"/>
        <w:szCs w:val="18"/>
        <w:vertAlign w:val="superscript"/>
      </w:rPr>
      <w:t>th</w:t>
    </w:r>
    <w:r>
      <w:rPr>
        <w:sz w:val="18"/>
        <w:szCs w:val="18"/>
      </w:rPr>
      <w:t xml:space="preserve"> </w:t>
    </w:r>
    <w:r w:rsidRPr="00B0007F">
      <w:rPr>
        <w:sz w:val="18"/>
        <w:szCs w:val="18"/>
      </w:rPr>
      <w:t>International CNRA/</w:t>
    </w:r>
    <w:r>
      <w:rPr>
        <w:sz w:val="18"/>
        <w:szCs w:val="18"/>
      </w:rPr>
      <w:t>WGIP Workshop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DA" w:rsidRDefault="00902DDA">
    <w:pPr>
      <w:pStyle w:val="Header"/>
    </w:pPr>
    <w:r w:rsidRPr="00B0007F">
      <w:rPr>
        <w:sz w:val="18"/>
        <w:szCs w:val="18"/>
      </w:rPr>
      <w:t>1</w:t>
    </w:r>
    <w:r>
      <w:rPr>
        <w:sz w:val="18"/>
        <w:szCs w:val="18"/>
      </w:rPr>
      <w:t>3</w:t>
    </w:r>
    <w:r w:rsidRPr="002B74DC">
      <w:rPr>
        <w:sz w:val="18"/>
        <w:szCs w:val="18"/>
        <w:vertAlign w:val="superscript"/>
      </w:rPr>
      <w:t>th</w:t>
    </w:r>
    <w:r>
      <w:rPr>
        <w:sz w:val="18"/>
        <w:szCs w:val="18"/>
      </w:rPr>
      <w:t xml:space="preserve"> </w:t>
    </w:r>
    <w:r w:rsidRPr="00B0007F">
      <w:rPr>
        <w:sz w:val="18"/>
        <w:szCs w:val="18"/>
      </w:rPr>
      <w:t>International CNRA/</w:t>
    </w:r>
    <w:r>
      <w:rPr>
        <w:sz w:val="18"/>
        <w:szCs w:val="18"/>
      </w:rPr>
      <w:t>WGIP Workshop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1">
    <w:nsid w:val="10DE36C9"/>
    <w:multiLevelType w:val="hybridMultilevel"/>
    <w:tmpl w:val="5D448406"/>
    <w:lvl w:ilvl="0" w:tplc="7D4C707C">
      <w:start w:val="1"/>
      <w:numFmt w:val="decimal"/>
      <w:lvlText w:val="%1."/>
      <w:lvlJc w:val="left"/>
      <w:pPr>
        <w:ind w:left="45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DDA"/>
    <w:rsid w:val="007A33E7"/>
    <w:rsid w:val="00902DDA"/>
    <w:rsid w:val="00A54E00"/>
    <w:rsid w:val="00B341A7"/>
    <w:rsid w:val="00D76C66"/>
    <w:rsid w:val="00E12E8E"/>
    <w:rsid w:val="00FD5C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DDA"/>
    <w:pPr>
      <w:tabs>
        <w:tab w:val="left" w:pos="850"/>
        <w:tab w:val="left" w:pos="1191"/>
        <w:tab w:val="left" w:pos="1531"/>
      </w:tabs>
      <w:spacing w:after="0" w:line="240" w:lineRule="auto"/>
      <w:jc w:val="both"/>
    </w:pPr>
    <w:rPr>
      <w:rFonts w:ascii="Times New Roman" w:eastAsia="Times New Roman" w:hAnsi="Times New Roman" w:cs="Times New Roman"/>
      <w:lang w:eastAsia="zh-CN"/>
    </w:rPr>
  </w:style>
  <w:style w:type="paragraph" w:styleId="Heading1">
    <w:name w:val="heading 1"/>
    <w:basedOn w:val="Normal"/>
    <w:next w:val="Normal"/>
    <w:link w:val="Heading1Char"/>
    <w:autoRedefine/>
    <w:uiPriority w:val="9"/>
    <w:qFormat/>
    <w:rsid w:val="00B341A7"/>
    <w:pPr>
      <w:keepNext/>
      <w:keepLines/>
      <w:spacing w:before="480"/>
      <w:outlineLvl w:val="0"/>
    </w:pPr>
    <w:rPr>
      <w:rFonts w:ascii="Calibri" w:eastAsiaTheme="majorEastAsia" w:hAnsi="Calibri" w:cstheme="majorBidi"/>
      <w:b/>
      <w:bCs/>
      <w:color w:val="365F91" w:themeColor="accent1" w:themeShade="BF"/>
      <w:sz w:val="32"/>
      <w:szCs w:val="28"/>
    </w:rPr>
  </w:style>
  <w:style w:type="paragraph" w:styleId="Heading2">
    <w:name w:val="heading 2"/>
    <w:basedOn w:val="Normal"/>
    <w:next w:val="Normal"/>
    <w:link w:val="Heading2Char"/>
    <w:autoRedefine/>
    <w:uiPriority w:val="9"/>
    <w:unhideWhenUsed/>
    <w:qFormat/>
    <w:rsid w:val="00B341A7"/>
    <w:pPr>
      <w:keepNext/>
      <w:keepLines/>
      <w:spacing w:before="200"/>
      <w:outlineLvl w:val="1"/>
    </w:pPr>
    <w:rPr>
      <w:rFonts w:ascii="Calibri" w:eastAsiaTheme="majorEastAsia" w:hAnsi="Calibri" w:cstheme="majorBidi"/>
      <w:b/>
      <w:bCs/>
      <w:color w:val="4F81BD" w:themeColor="accent1"/>
      <w:sz w:val="30"/>
      <w:szCs w:val="26"/>
    </w:rPr>
  </w:style>
  <w:style w:type="paragraph" w:styleId="Heading3">
    <w:name w:val="heading 3"/>
    <w:basedOn w:val="Normal"/>
    <w:next w:val="Normal"/>
    <w:link w:val="Heading3Char"/>
    <w:autoRedefine/>
    <w:unhideWhenUsed/>
    <w:qFormat/>
    <w:rsid w:val="00902DDA"/>
    <w:pPr>
      <w:keepNext/>
      <w:keepLines/>
      <w:spacing w:before="200"/>
      <w:outlineLvl w:val="2"/>
    </w:pPr>
    <w:rPr>
      <w:rFonts w:eastAsiaTheme="majorEastAsia" w:cstheme="majorBidi"/>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1A7"/>
    <w:rPr>
      <w:rFonts w:ascii="Calibri" w:eastAsiaTheme="majorEastAsia" w:hAnsi="Calibr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B341A7"/>
    <w:rPr>
      <w:rFonts w:ascii="Calibri" w:eastAsiaTheme="majorEastAsia" w:hAnsi="Calibri" w:cstheme="majorBidi"/>
      <w:b/>
      <w:bCs/>
      <w:color w:val="4F81BD" w:themeColor="accent1"/>
      <w:sz w:val="30"/>
      <w:szCs w:val="26"/>
    </w:rPr>
  </w:style>
  <w:style w:type="character" w:customStyle="1" w:styleId="Heading3Char">
    <w:name w:val="Heading 3 Char"/>
    <w:basedOn w:val="DefaultParagraphFont"/>
    <w:link w:val="Heading3"/>
    <w:rsid w:val="00902DDA"/>
    <w:rPr>
      <w:rFonts w:ascii="Times New Roman" w:eastAsiaTheme="majorEastAsia" w:hAnsi="Times New Roman" w:cstheme="majorBidi"/>
      <w:b/>
      <w:bCs/>
      <w:i/>
      <w:sz w:val="20"/>
      <w:szCs w:val="20"/>
      <w:lang w:eastAsia="zh-CN"/>
    </w:rPr>
  </w:style>
  <w:style w:type="character" w:styleId="Hyperlink">
    <w:name w:val="Hyperlink"/>
    <w:semiHidden/>
    <w:unhideWhenUsed/>
    <w:rsid w:val="00902DDA"/>
    <w:rPr>
      <w:noProof w:val="0"/>
      <w:color w:val="0000FF"/>
      <w:u w:val="single"/>
      <w:lang w:val="en-GB"/>
    </w:rPr>
  </w:style>
  <w:style w:type="paragraph" w:styleId="FootnoteText">
    <w:name w:val="footnote text"/>
    <w:basedOn w:val="Normal"/>
    <w:link w:val="FootnoteTextChar"/>
    <w:semiHidden/>
    <w:unhideWhenUsed/>
    <w:rsid w:val="00902DDA"/>
    <w:pPr>
      <w:spacing w:after="120"/>
      <w:ind w:left="850" w:hanging="850"/>
    </w:pPr>
    <w:rPr>
      <w:sz w:val="20"/>
      <w:szCs w:val="20"/>
    </w:rPr>
  </w:style>
  <w:style w:type="character" w:customStyle="1" w:styleId="FootnoteTextChar">
    <w:name w:val="Footnote Text Char"/>
    <w:basedOn w:val="DefaultParagraphFont"/>
    <w:link w:val="FootnoteText"/>
    <w:semiHidden/>
    <w:rsid w:val="00902DDA"/>
    <w:rPr>
      <w:rFonts w:ascii="Times New Roman" w:eastAsia="Times New Roman" w:hAnsi="Times New Roman" w:cs="Times New Roman"/>
      <w:sz w:val="20"/>
      <w:szCs w:val="20"/>
      <w:lang w:eastAsia="zh-CN"/>
    </w:rPr>
  </w:style>
  <w:style w:type="paragraph" w:styleId="ListBullet">
    <w:name w:val="List Bullet"/>
    <w:basedOn w:val="Normal"/>
    <w:unhideWhenUsed/>
    <w:rsid w:val="00902DDA"/>
    <w:pPr>
      <w:numPr>
        <w:numId w:val="1"/>
      </w:numPr>
      <w:tabs>
        <w:tab w:val="clear" w:pos="1191"/>
        <w:tab w:val="clear" w:pos="1531"/>
      </w:tabs>
      <w:spacing w:after="240"/>
    </w:pPr>
  </w:style>
  <w:style w:type="paragraph" w:styleId="BodyText">
    <w:name w:val="Body Text"/>
    <w:basedOn w:val="Normal"/>
    <w:link w:val="BodyTextChar"/>
    <w:semiHidden/>
    <w:unhideWhenUsed/>
    <w:rsid w:val="00902DDA"/>
    <w:pPr>
      <w:spacing w:after="240"/>
      <w:ind w:firstLine="442"/>
    </w:pPr>
  </w:style>
  <w:style w:type="character" w:customStyle="1" w:styleId="BodyTextChar">
    <w:name w:val="Body Text Char"/>
    <w:basedOn w:val="DefaultParagraphFont"/>
    <w:link w:val="BodyText"/>
    <w:semiHidden/>
    <w:rsid w:val="00902DDA"/>
    <w:rPr>
      <w:rFonts w:ascii="Times New Roman" w:eastAsia="Times New Roman" w:hAnsi="Times New Roman" w:cs="Times New Roman"/>
      <w:lang w:eastAsia="zh-CN"/>
    </w:rPr>
  </w:style>
  <w:style w:type="character" w:styleId="FootnoteReference">
    <w:name w:val="footnote reference"/>
    <w:basedOn w:val="DefaultParagraphFont"/>
    <w:uiPriority w:val="99"/>
    <w:semiHidden/>
    <w:unhideWhenUsed/>
    <w:rsid w:val="00902DDA"/>
    <w:rPr>
      <w:vertAlign w:val="superscript"/>
    </w:rPr>
  </w:style>
  <w:style w:type="paragraph" w:styleId="Header">
    <w:name w:val="header"/>
    <w:basedOn w:val="Normal"/>
    <w:link w:val="HeaderChar"/>
    <w:unhideWhenUsed/>
    <w:rsid w:val="00902DDA"/>
    <w:pPr>
      <w:tabs>
        <w:tab w:val="clear" w:pos="850"/>
        <w:tab w:val="clear" w:pos="1191"/>
        <w:tab w:val="clear" w:pos="1531"/>
        <w:tab w:val="center" w:pos="4513"/>
        <w:tab w:val="right" w:pos="9026"/>
      </w:tabs>
    </w:pPr>
  </w:style>
  <w:style w:type="character" w:customStyle="1" w:styleId="HeaderChar">
    <w:name w:val="Header Char"/>
    <w:basedOn w:val="DefaultParagraphFont"/>
    <w:link w:val="Header"/>
    <w:rsid w:val="00902DDA"/>
    <w:rPr>
      <w:rFonts w:ascii="Times New Roman" w:eastAsia="Times New Roman" w:hAnsi="Times New Roman" w:cs="Times New Roman"/>
      <w:lang w:eastAsia="zh-CN"/>
    </w:rPr>
  </w:style>
  <w:style w:type="paragraph" w:styleId="Footer">
    <w:name w:val="footer"/>
    <w:basedOn w:val="Normal"/>
    <w:link w:val="FooterChar"/>
    <w:uiPriority w:val="99"/>
    <w:unhideWhenUsed/>
    <w:rsid w:val="00902DDA"/>
    <w:pPr>
      <w:tabs>
        <w:tab w:val="clear" w:pos="850"/>
        <w:tab w:val="clear" w:pos="1191"/>
        <w:tab w:val="clear" w:pos="1531"/>
        <w:tab w:val="center" w:pos="4513"/>
        <w:tab w:val="right" w:pos="9026"/>
      </w:tabs>
    </w:pPr>
  </w:style>
  <w:style w:type="character" w:customStyle="1" w:styleId="FooterChar">
    <w:name w:val="Footer Char"/>
    <w:basedOn w:val="DefaultParagraphFont"/>
    <w:link w:val="Footer"/>
    <w:uiPriority w:val="99"/>
    <w:rsid w:val="00902DDA"/>
    <w:rPr>
      <w:rFonts w:ascii="Times New Roman" w:eastAsia="Times New Roman" w:hAnsi="Times New Roman"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DDA"/>
    <w:pPr>
      <w:tabs>
        <w:tab w:val="left" w:pos="850"/>
        <w:tab w:val="left" w:pos="1191"/>
        <w:tab w:val="left" w:pos="1531"/>
      </w:tabs>
      <w:spacing w:after="0" w:line="240" w:lineRule="auto"/>
      <w:jc w:val="both"/>
    </w:pPr>
    <w:rPr>
      <w:rFonts w:ascii="Times New Roman" w:eastAsia="Times New Roman" w:hAnsi="Times New Roman" w:cs="Times New Roman"/>
      <w:lang w:eastAsia="zh-CN"/>
    </w:rPr>
  </w:style>
  <w:style w:type="paragraph" w:styleId="Heading1">
    <w:name w:val="heading 1"/>
    <w:basedOn w:val="Normal"/>
    <w:next w:val="Normal"/>
    <w:link w:val="Heading1Char"/>
    <w:autoRedefine/>
    <w:uiPriority w:val="9"/>
    <w:qFormat/>
    <w:rsid w:val="00B341A7"/>
    <w:pPr>
      <w:keepNext/>
      <w:keepLines/>
      <w:spacing w:before="480"/>
      <w:outlineLvl w:val="0"/>
    </w:pPr>
    <w:rPr>
      <w:rFonts w:ascii="Calibri" w:eastAsiaTheme="majorEastAsia" w:hAnsi="Calibri" w:cstheme="majorBidi"/>
      <w:b/>
      <w:bCs/>
      <w:color w:val="365F91" w:themeColor="accent1" w:themeShade="BF"/>
      <w:sz w:val="32"/>
      <w:szCs w:val="28"/>
    </w:rPr>
  </w:style>
  <w:style w:type="paragraph" w:styleId="Heading2">
    <w:name w:val="heading 2"/>
    <w:basedOn w:val="Normal"/>
    <w:next w:val="Normal"/>
    <w:link w:val="Heading2Char"/>
    <w:autoRedefine/>
    <w:uiPriority w:val="9"/>
    <w:unhideWhenUsed/>
    <w:qFormat/>
    <w:rsid w:val="00B341A7"/>
    <w:pPr>
      <w:keepNext/>
      <w:keepLines/>
      <w:spacing w:before="200"/>
      <w:outlineLvl w:val="1"/>
    </w:pPr>
    <w:rPr>
      <w:rFonts w:ascii="Calibri" w:eastAsiaTheme="majorEastAsia" w:hAnsi="Calibri" w:cstheme="majorBidi"/>
      <w:b/>
      <w:bCs/>
      <w:color w:val="4F81BD" w:themeColor="accent1"/>
      <w:sz w:val="30"/>
      <w:szCs w:val="26"/>
    </w:rPr>
  </w:style>
  <w:style w:type="paragraph" w:styleId="Heading3">
    <w:name w:val="heading 3"/>
    <w:basedOn w:val="Normal"/>
    <w:next w:val="Normal"/>
    <w:link w:val="Heading3Char"/>
    <w:autoRedefine/>
    <w:unhideWhenUsed/>
    <w:qFormat/>
    <w:rsid w:val="00902DDA"/>
    <w:pPr>
      <w:keepNext/>
      <w:keepLines/>
      <w:spacing w:before="200"/>
      <w:outlineLvl w:val="2"/>
    </w:pPr>
    <w:rPr>
      <w:rFonts w:eastAsiaTheme="majorEastAsia" w:cstheme="majorBidi"/>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1A7"/>
    <w:rPr>
      <w:rFonts w:ascii="Calibri" w:eastAsiaTheme="majorEastAsia" w:hAnsi="Calibr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B341A7"/>
    <w:rPr>
      <w:rFonts w:ascii="Calibri" w:eastAsiaTheme="majorEastAsia" w:hAnsi="Calibri" w:cstheme="majorBidi"/>
      <w:b/>
      <w:bCs/>
      <w:color w:val="4F81BD" w:themeColor="accent1"/>
      <w:sz w:val="30"/>
      <w:szCs w:val="26"/>
    </w:rPr>
  </w:style>
  <w:style w:type="character" w:customStyle="1" w:styleId="Heading3Char">
    <w:name w:val="Heading 3 Char"/>
    <w:basedOn w:val="DefaultParagraphFont"/>
    <w:link w:val="Heading3"/>
    <w:rsid w:val="00902DDA"/>
    <w:rPr>
      <w:rFonts w:ascii="Times New Roman" w:eastAsiaTheme="majorEastAsia" w:hAnsi="Times New Roman" w:cstheme="majorBidi"/>
      <w:b/>
      <w:bCs/>
      <w:i/>
      <w:sz w:val="20"/>
      <w:szCs w:val="20"/>
      <w:lang w:eastAsia="zh-CN"/>
    </w:rPr>
  </w:style>
  <w:style w:type="character" w:styleId="Hyperlink">
    <w:name w:val="Hyperlink"/>
    <w:semiHidden/>
    <w:unhideWhenUsed/>
    <w:rsid w:val="00902DDA"/>
    <w:rPr>
      <w:noProof w:val="0"/>
      <w:color w:val="0000FF"/>
      <w:u w:val="single"/>
      <w:lang w:val="en-GB"/>
    </w:rPr>
  </w:style>
  <w:style w:type="paragraph" w:styleId="FootnoteText">
    <w:name w:val="footnote text"/>
    <w:basedOn w:val="Normal"/>
    <w:link w:val="FootnoteTextChar"/>
    <w:semiHidden/>
    <w:unhideWhenUsed/>
    <w:rsid w:val="00902DDA"/>
    <w:pPr>
      <w:spacing w:after="120"/>
      <w:ind w:left="850" w:hanging="850"/>
    </w:pPr>
    <w:rPr>
      <w:sz w:val="20"/>
      <w:szCs w:val="20"/>
    </w:rPr>
  </w:style>
  <w:style w:type="character" w:customStyle="1" w:styleId="FootnoteTextChar">
    <w:name w:val="Footnote Text Char"/>
    <w:basedOn w:val="DefaultParagraphFont"/>
    <w:link w:val="FootnoteText"/>
    <w:semiHidden/>
    <w:rsid w:val="00902DDA"/>
    <w:rPr>
      <w:rFonts w:ascii="Times New Roman" w:eastAsia="Times New Roman" w:hAnsi="Times New Roman" w:cs="Times New Roman"/>
      <w:sz w:val="20"/>
      <w:szCs w:val="20"/>
      <w:lang w:eastAsia="zh-CN"/>
    </w:rPr>
  </w:style>
  <w:style w:type="paragraph" w:styleId="ListBullet">
    <w:name w:val="List Bullet"/>
    <w:basedOn w:val="Normal"/>
    <w:unhideWhenUsed/>
    <w:rsid w:val="00902DDA"/>
    <w:pPr>
      <w:numPr>
        <w:numId w:val="1"/>
      </w:numPr>
      <w:tabs>
        <w:tab w:val="clear" w:pos="1191"/>
        <w:tab w:val="clear" w:pos="1531"/>
      </w:tabs>
      <w:spacing w:after="240"/>
    </w:pPr>
  </w:style>
  <w:style w:type="paragraph" w:styleId="BodyText">
    <w:name w:val="Body Text"/>
    <w:basedOn w:val="Normal"/>
    <w:link w:val="BodyTextChar"/>
    <w:semiHidden/>
    <w:unhideWhenUsed/>
    <w:rsid w:val="00902DDA"/>
    <w:pPr>
      <w:spacing w:after="240"/>
      <w:ind w:firstLine="442"/>
    </w:pPr>
  </w:style>
  <w:style w:type="character" w:customStyle="1" w:styleId="BodyTextChar">
    <w:name w:val="Body Text Char"/>
    <w:basedOn w:val="DefaultParagraphFont"/>
    <w:link w:val="BodyText"/>
    <w:semiHidden/>
    <w:rsid w:val="00902DDA"/>
    <w:rPr>
      <w:rFonts w:ascii="Times New Roman" w:eastAsia="Times New Roman" w:hAnsi="Times New Roman" w:cs="Times New Roman"/>
      <w:lang w:eastAsia="zh-CN"/>
    </w:rPr>
  </w:style>
  <w:style w:type="character" w:styleId="FootnoteReference">
    <w:name w:val="footnote reference"/>
    <w:basedOn w:val="DefaultParagraphFont"/>
    <w:uiPriority w:val="99"/>
    <w:semiHidden/>
    <w:unhideWhenUsed/>
    <w:rsid w:val="00902DDA"/>
    <w:rPr>
      <w:vertAlign w:val="superscript"/>
    </w:rPr>
  </w:style>
  <w:style w:type="paragraph" w:styleId="Header">
    <w:name w:val="header"/>
    <w:basedOn w:val="Normal"/>
    <w:link w:val="HeaderChar"/>
    <w:unhideWhenUsed/>
    <w:rsid w:val="00902DDA"/>
    <w:pPr>
      <w:tabs>
        <w:tab w:val="clear" w:pos="850"/>
        <w:tab w:val="clear" w:pos="1191"/>
        <w:tab w:val="clear" w:pos="1531"/>
        <w:tab w:val="center" w:pos="4513"/>
        <w:tab w:val="right" w:pos="9026"/>
      </w:tabs>
    </w:pPr>
  </w:style>
  <w:style w:type="character" w:customStyle="1" w:styleId="HeaderChar">
    <w:name w:val="Header Char"/>
    <w:basedOn w:val="DefaultParagraphFont"/>
    <w:link w:val="Header"/>
    <w:rsid w:val="00902DDA"/>
    <w:rPr>
      <w:rFonts w:ascii="Times New Roman" w:eastAsia="Times New Roman" w:hAnsi="Times New Roman" w:cs="Times New Roman"/>
      <w:lang w:eastAsia="zh-CN"/>
    </w:rPr>
  </w:style>
  <w:style w:type="paragraph" w:styleId="Footer">
    <w:name w:val="footer"/>
    <w:basedOn w:val="Normal"/>
    <w:link w:val="FooterChar"/>
    <w:uiPriority w:val="99"/>
    <w:unhideWhenUsed/>
    <w:rsid w:val="00902DDA"/>
    <w:pPr>
      <w:tabs>
        <w:tab w:val="clear" w:pos="850"/>
        <w:tab w:val="clear" w:pos="1191"/>
        <w:tab w:val="clear" w:pos="1531"/>
        <w:tab w:val="center" w:pos="4513"/>
        <w:tab w:val="right" w:pos="9026"/>
      </w:tabs>
    </w:pPr>
  </w:style>
  <w:style w:type="character" w:customStyle="1" w:styleId="FooterChar">
    <w:name w:val="Footer Char"/>
    <w:basedOn w:val="DefaultParagraphFont"/>
    <w:link w:val="Footer"/>
    <w:uiPriority w:val="99"/>
    <w:rsid w:val="00902DDA"/>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5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ncy.salgado@oec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919FA-B1CA-4A87-AE16-4818D6C9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897</Words>
  <Characters>5115</Characters>
  <Application>Microsoft Office Word</Application>
  <DocSecurity>0</DocSecurity>
  <Lines>42</Lines>
  <Paragraphs>11</Paragraphs>
  <ScaleCrop>false</ScaleCrop>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13th International CNRA/WGIP Workshop 2016 - Questionnaire A: Inspection Activities during the Transition from an Operating Reactor to a Defueled Status with a Commitment to Cease Power Operation </dc:title>
  <dc:creator>NEA</dc:creator>
  <dc:description/>
  <cp:lastModifiedBy>Angres Danielle</cp:lastModifiedBy>
  <cp:revision>3</cp:revision>
  <dcterms:created xsi:type="dcterms:W3CDTF">2016-01-05T09:52:00Z</dcterms:created>
  <dcterms:modified xsi:type="dcterms:W3CDTF">2016-01-05T10:03:00Z</dcterms:modified>
</cp:coreProperties>
</file>